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B4F8B" w14:textId="2447D232" w:rsidR="00221B45" w:rsidRDefault="00221B45" w:rsidP="00877914">
      <w:pPr>
        <w:pStyle w:val="ListParagraph"/>
        <w:spacing w:line="240" w:lineRule="auto"/>
        <w:ind w:left="0"/>
        <w:jc w:val="center"/>
        <w:rPr>
          <w:rFonts w:ascii="Times New Roman" w:hAnsi="Times New Roman" w:cs="Times New Roman"/>
          <w:b/>
          <w:sz w:val="32"/>
        </w:rPr>
      </w:pPr>
      <w:bookmarkStart w:id="0" w:name="_GoBack"/>
      <w:bookmarkEnd w:id="0"/>
      <w:r w:rsidRPr="00221B45">
        <w:rPr>
          <w:rFonts w:ascii="Times New Roman" w:hAnsi="Times New Roman" w:cs="Times New Roman"/>
          <w:b/>
          <w:sz w:val="32"/>
        </w:rPr>
        <w:t>Economic Value Potent</w:t>
      </w:r>
      <w:r w:rsidR="0056309F" w:rsidRPr="00221B45">
        <w:rPr>
          <w:rFonts w:ascii="Times New Roman" w:hAnsi="Times New Roman" w:cs="Times New Roman"/>
          <w:b/>
          <w:sz w:val="32"/>
        </w:rPr>
        <w:t>ials</w:t>
      </w:r>
      <w:r w:rsidR="0056309F" w:rsidRPr="0056309F">
        <w:rPr>
          <w:rFonts w:ascii="Times New Roman" w:hAnsi="Times New Roman" w:cs="Times New Roman"/>
          <w:b/>
          <w:sz w:val="32"/>
        </w:rPr>
        <w:t xml:space="preserve"> </w:t>
      </w:r>
      <w:r w:rsidR="0056309F">
        <w:rPr>
          <w:rFonts w:ascii="Times New Roman" w:hAnsi="Times New Roman" w:cs="Times New Roman"/>
          <w:b/>
          <w:sz w:val="32"/>
        </w:rPr>
        <w:t>of</w:t>
      </w:r>
      <w:r w:rsidR="0056309F" w:rsidRPr="00221B45">
        <w:rPr>
          <w:rFonts w:ascii="Times New Roman" w:hAnsi="Times New Roman" w:cs="Times New Roman"/>
          <w:b/>
          <w:sz w:val="32"/>
        </w:rPr>
        <w:t xml:space="preserve"> the Niger Delta Mangrove Ecosystem</w:t>
      </w:r>
      <w:r w:rsidR="00322F35">
        <w:rPr>
          <w:rFonts w:ascii="Times New Roman" w:hAnsi="Times New Roman" w:cs="Times New Roman"/>
          <w:b/>
          <w:sz w:val="32"/>
        </w:rPr>
        <w:t>,</w:t>
      </w:r>
      <w:r w:rsidRPr="00221B45">
        <w:rPr>
          <w:rFonts w:ascii="Times New Roman" w:hAnsi="Times New Roman" w:cs="Times New Roman"/>
          <w:b/>
          <w:sz w:val="32"/>
        </w:rPr>
        <w:t xml:space="preserve"> and decline in </w:t>
      </w:r>
      <w:r w:rsidR="00AD1CEE">
        <w:rPr>
          <w:rFonts w:ascii="Times New Roman" w:hAnsi="Times New Roman" w:cs="Times New Roman"/>
          <w:b/>
          <w:sz w:val="32"/>
        </w:rPr>
        <w:t>R</w:t>
      </w:r>
      <w:r w:rsidR="000D0DC7">
        <w:rPr>
          <w:rFonts w:ascii="Times New Roman" w:hAnsi="Times New Roman" w:cs="Times New Roman"/>
          <w:b/>
          <w:sz w:val="32"/>
        </w:rPr>
        <w:t xml:space="preserve">ural </w:t>
      </w:r>
      <w:r w:rsidR="00AD1CEE">
        <w:rPr>
          <w:rFonts w:ascii="Times New Roman" w:hAnsi="Times New Roman" w:cs="Times New Roman"/>
          <w:b/>
          <w:sz w:val="32"/>
        </w:rPr>
        <w:t>L</w:t>
      </w:r>
      <w:r w:rsidR="003438C6">
        <w:rPr>
          <w:rFonts w:ascii="Times New Roman" w:hAnsi="Times New Roman" w:cs="Times New Roman"/>
          <w:b/>
          <w:sz w:val="32"/>
        </w:rPr>
        <w:t>ivelihood arising</w:t>
      </w:r>
      <w:r w:rsidR="00877914">
        <w:rPr>
          <w:rFonts w:ascii="Times New Roman" w:hAnsi="Times New Roman" w:cs="Times New Roman"/>
          <w:b/>
          <w:sz w:val="32"/>
        </w:rPr>
        <w:t xml:space="preserve"> from</w:t>
      </w:r>
      <w:r w:rsidR="003438C6">
        <w:rPr>
          <w:rFonts w:ascii="Times New Roman" w:hAnsi="Times New Roman" w:cs="Times New Roman"/>
          <w:b/>
          <w:sz w:val="32"/>
        </w:rPr>
        <w:t xml:space="preserve"> Unsus</w:t>
      </w:r>
      <w:r w:rsidR="00267C20">
        <w:rPr>
          <w:rFonts w:ascii="Times New Roman" w:hAnsi="Times New Roman" w:cs="Times New Roman"/>
          <w:b/>
          <w:sz w:val="32"/>
        </w:rPr>
        <w:t>tainable Exploitations</w:t>
      </w:r>
      <w:r w:rsidRPr="00221B45">
        <w:rPr>
          <w:rFonts w:ascii="Times New Roman" w:hAnsi="Times New Roman" w:cs="Times New Roman"/>
          <w:b/>
          <w:sz w:val="32"/>
        </w:rPr>
        <w:t xml:space="preserve"> </w:t>
      </w:r>
    </w:p>
    <w:p w14:paraId="4BE76408" w14:textId="77777777" w:rsidR="000F20E4" w:rsidRPr="000F20E4" w:rsidRDefault="000F20E4" w:rsidP="00221B45">
      <w:pPr>
        <w:pStyle w:val="ListParagraph"/>
        <w:ind w:left="0"/>
        <w:jc w:val="center"/>
        <w:rPr>
          <w:rFonts w:ascii="Times New Roman" w:hAnsi="Times New Roman" w:cs="Times New Roman"/>
          <w:b/>
          <w:sz w:val="24"/>
        </w:rPr>
      </w:pPr>
    </w:p>
    <w:p w14:paraId="12A5DC3C" w14:textId="77777777" w:rsidR="00221B45" w:rsidRPr="00BA4ABB" w:rsidRDefault="00221B45" w:rsidP="00BA4ABB">
      <w:pPr>
        <w:pStyle w:val="ListParagraph"/>
        <w:spacing w:after="0" w:line="240" w:lineRule="auto"/>
        <w:ind w:left="0"/>
        <w:jc w:val="center"/>
        <w:rPr>
          <w:rFonts w:ascii="Times New Roman" w:hAnsi="Times New Roman" w:cs="Times New Roman"/>
          <w:b/>
          <w:sz w:val="18"/>
        </w:rPr>
      </w:pPr>
    </w:p>
    <w:p w14:paraId="7FFEACDB" w14:textId="77777777" w:rsidR="00221B45" w:rsidRDefault="000F20E4" w:rsidP="00221B45">
      <w:pPr>
        <w:pStyle w:val="ListParagraph"/>
        <w:ind w:left="0"/>
        <w:jc w:val="both"/>
        <w:rPr>
          <w:rFonts w:ascii="Times New Roman" w:hAnsi="Times New Roman" w:cs="Times New Roman"/>
          <w:b/>
          <w:sz w:val="24"/>
        </w:rPr>
      </w:pPr>
      <w:r>
        <w:rPr>
          <w:rFonts w:ascii="Times New Roman" w:hAnsi="Times New Roman" w:cs="Times New Roman"/>
          <w:b/>
          <w:sz w:val="24"/>
        </w:rPr>
        <w:t>Abstract</w:t>
      </w:r>
      <w:r w:rsidR="00221B45">
        <w:rPr>
          <w:rFonts w:ascii="Times New Roman" w:hAnsi="Times New Roman" w:cs="Times New Roman"/>
          <w:b/>
          <w:sz w:val="24"/>
        </w:rPr>
        <w:t xml:space="preserve"> </w:t>
      </w:r>
    </w:p>
    <w:p w14:paraId="683A3D33" w14:textId="77777777" w:rsidR="00E267E1" w:rsidRDefault="007965EE" w:rsidP="0019137A">
      <w:pPr>
        <w:pStyle w:val="ListParagraph"/>
        <w:spacing w:after="0" w:line="240" w:lineRule="auto"/>
        <w:ind w:left="0"/>
        <w:jc w:val="both"/>
        <w:rPr>
          <w:rFonts w:ascii="Times New Roman" w:hAnsi="Times New Roman" w:cs="Times New Roman"/>
          <w:i/>
          <w:sz w:val="24"/>
        </w:rPr>
      </w:pPr>
      <w:r w:rsidRPr="0048163E">
        <w:rPr>
          <w:rFonts w:ascii="Times New Roman" w:hAnsi="Times New Roman" w:cs="Times New Roman"/>
          <w:i/>
          <w:sz w:val="24"/>
        </w:rPr>
        <w:t>The Niger Delta mangrove is an extensive ecosystem</w:t>
      </w:r>
      <w:r w:rsidR="00A36DEA" w:rsidRPr="0048163E">
        <w:rPr>
          <w:rFonts w:ascii="Times New Roman" w:hAnsi="Times New Roman" w:cs="Times New Roman"/>
          <w:i/>
          <w:sz w:val="24"/>
        </w:rPr>
        <w:t xml:space="preserve"> that supplies various goods and provides ecological service</w:t>
      </w:r>
      <w:r w:rsidR="00B00829" w:rsidRPr="0048163E">
        <w:rPr>
          <w:rFonts w:ascii="Times New Roman" w:hAnsi="Times New Roman" w:cs="Times New Roman"/>
          <w:i/>
          <w:sz w:val="24"/>
        </w:rPr>
        <w:t>s. They are thus very important ecologically, ec</w:t>
      </w:r>
      <w:r w:rsidR="0019137A">
        <w:rPr>
          <w:rFonts w:ascii="Times New Roman" w:hAnsi="Times New Roman" w:cs="Times New Roman"/>
          <w:i/>
          <w:sz w:val="24"/>
        </w:rPr>
        <w:t>onomically, and socially as</w:t>
      </w:r>
      <w:r w:rsidR="00B00829" w:rsidRPr="0048163E">
        <w:rPr>
          <w:rFonts w:ascii="Times New Roman" w:hAnsi="Times New Roman" w:cs="Times New Roman"/>
          <w:i/>
          <w:sz w:val="24"/>
        </w:rPr>
        <w:t xml:space="preserve"> they harbour a wide range of aquatic and land-based flora and fauna</w:t>
      </w:r>
      <w:r w:rsidR="0019137A">
        <w:rPr>
          <w:rFonts w:ascii="Times New Roman" w:hAnsi="Times New Roman" w:cs="Times New Roman"/>
          <w:i/>
          <w:sz w:val="24"/>
        </w:rPr>
        <w:t>,</w:t>
      </w:r>
      <w:r w:rsidR="00B00829" w:rsidRPr="0048163E">
        <w:rPr>
          <w:rFonts w:ascii="Times New Roman" w:hAnsi="Times New Roman" w:cs="Times New Roman"/>
          <w:i/>
          <w:sz w:val="24"/>
        </w:rPr>
        <w:t xml:space="preserve"> in addition to a number of ecosystem services</w:t>
      </w:r>
      <w:r w:rsidR="00A36DEA" w:rsidRPr="0048163E">
        <w:rPr>
          <w:rFonts w:ascii="Times New Roman" w:hAnsi="Times New Roman" w:cs="Times New Roman"/>
          <w:i/>
          <w:sz w:val="24"/>
        </w:rPr>
        <w:t xml:space="preserve"> </w:t>
      </w:r>
      <w:r w:rsidR="0056309F">
        <w:rPr>
          <w:rFonts w:ascii="Times New Roman" w:hAnsi="Times New Roman" w:cs="Times New Roman"/>
          <w:i/>
          <w:sz w:val="24"/>
        </w:rPr>
        <w:t>that improve</w:t>
      </w:r>
      <w:r w:rsidR="00B00829" w:rsidRPr="0048163E">
        <w:rPr>
          <w:rFonts w:ascii="Times New Roman" w:hAnsi="Times New Roman" w:cs="Times New Roman"/>
          <w:i/>
          <w:sz w:val="24"/>
        </w:rPr>
        <w:t xml:space="preserve"> </w:t>
      </w:r>
      <w:r w:rsidR="00BB2826" w:rsidRPr="0048163E">
        <w:rPr>
          <w:rFonts w:ascii="Times New Roman" w:hAnsi="Times New Roman" w:cs="Times New Roman"/>
          <w:i/>
          <w:sz w:val="24"/>
        </w:rPr>
        <w:t xml:space="preserve">livelihood and </w:t>
      </w:r>
      <w:r w:rsidR="00B00829" w:rsidRPr="0048163E">
        <w:rPr>
          <w:rFonts w:ascii="Times New Roman" w:hAnsi="Times New Roman" w:cs="Times New Roman"/>
          <w:i/>
          <w:sz w:val="24"/>
        </w:rPr>
        <w:t>the wellbeing of humans</w:t>
      </w:r>
      <w:r w:rsidR="00595BAB" w:rsidRPr="0048163E">
        <w:rPr>
          <w:rFonts w:ascii="Times New Roman" w:hAnsi="Times New Roman" w:cs="Times New Roman"/>
          <w:i/>
          <w:sz w:val="24"/>
        </w:rPr>
        <w:t>. The potential benefits derivable from these goods and services constitute the economic value potentials of the mangrove ecosystem. The Niger Delta mangrove</w:t>
      </w:r>
      <w:r w:rsidR="00E12514" w:rsidRPr="0048163E">
        <w:rPr>
          <w:rFonts w:ascii="Times New Roman" w:hAnsi="Times New Roman" w:cs="Times New Roman"/>
          <w:i/>
          <w:sz w:val="24"/>
        </w:rPr>
        <w:t xml:space="preserve"> ecosystem is a vital wetland </w:t>
      </w:r>
      <w:r w:rsidR="00BC1D33" w:rsidRPr="0048163E">
        <w:rPr>
          <w:rFonts w:ascii="Times New Roman" w:hAnsi="Times New Roman" w:cs="Times New Roman"/>
          <w:i/>
          <w:sz w:val="24"/>
        </w:rPr>
        <w:t xml:space="preserve">area </w:t>
      </w:r>
      <w:r w:rsidR="00E12514" w:rsidRPr="0048163E">
        <w:rPr>
          <w:rFonts w:ascii="Times New Roman" w:hAnsi="Times New Roman" w:cs="Times New Roman"/>
          <w:i/>
          <w:sz w:val="24"/>
        </w:rPr>
        <w:t>that encompasses diverse ecological zones</w:t>
      </w:r>
      <w:r w:rsidR="00BC1D33" w:rsidRPr="0048163E">
        <w:rPr>
          <w:rFonts w:ascii="Times New Roman" w:hAnsi="Times New Roman" w:cs="Times New Roman"/>
          <w:i/>
          <w:sz w:val="24"/>
        </w:rPr>
        <w:t>,</w:t>
      </w:r>
      <w:r w:rsidR="00BB2826" w:rsidRPr="0048163E">
        <w:rPr>
          <w:rFonts w:ascii="Times New Roman" w:hAnsi="Times New Roman" w:cs="Times New Roman"/>
          <w:i/>
          <w:sz w:val="24"/>
        </w:rPr>
        <w:t xml:space="preserve"> each with a unique stock of goods and servic</w:t>
      </w:r>
      <w:r w:rsidR="006B7E96" w:rsidRPr="0048163E">
        <w:rPr>
          <w:rFonts w:ascii="Times New Roman" w:hAnsi="Times New Roman" w:cs="Times New Roman"/>
          <w:i/>
          <w:sz w:val="24"/>
        </w:rPr>
        <w:t>e</w:t>
      </w:r>
      <w:r w:rsidR="00BB2826" w:rsidRPr="0048163E">
        <w:rPr>
          <w:rFonts w:ascii="Times New Roman" w:hAnsi="Times New Roman" w:cs="Times New Roman"/>
          <w:i/>
          <w:sz w:val="24"/>
        </w:rPr>
        <w:t>s</w:t>
      </w:r>
      <w:r w:rsidR="006B7E96" w:rsidRPr="0048163E">
        <w:rPr>
          <w:rFonts w:ascii="Times New Roman" w:hAnsi="Times New Roman" w:cs="Times New Roman"/>
          <w:i/>
          <w:sz w:val="24"/>
        </w:rPr>
        <w:t xml:space="preserve"> but</w:t>
      </w:r>
      <w:r w:rsidR="00E12514" w:rsidRPr="0048163E">
        <w:rPr>
          <w:rFonts w:ascii="Times New Roman" w:hAnsi="Times New Roman" w:cs="Times New Roman"/>
          <w:i/>
          <w:sz w:val="24"/>
        </w:rPr>
        <w:t xml:space="preserve"> has faced significant threats from anthropogenic</w:t>
      </w:r>
      <w:r w:rsidR="00BC1D33" w:rsidRPr="0048163E">
        <w:rPr>
          <w:rFonts w:ascii="Times New Roman" w:hAnsi="Times New Roman" w:cs="Times New Roman"/>
          <w:i/>
          <w:sz w:val="24"/>
        </w:rPr>
        <w:t xml:space="preserve"> activities, resulting in depletions </w:t>
      </w:r>
      <w:r w:rsidR="002F3202" w:rsidRPr="0048163E">
        <w:rPr>
          <w:rFonts w:ascii="Times New Roman" w:hAnsi="Times New Roman" w:cs="Times New Roman"/>
          <w:i/>
          <w:sz w:val="24"/>
        </w:rPr>
        <w:t>that have</w:t>
      </w:r>
      <w:r w:rsidR="007A2699" w:rsidRPr="0048163E">
        <w:rPr>
          <w:rFonts w:ascii="Times New Roman" w:hAnsi="Times New Roman" w:cs="Times New Roman"/>
          <w:i/>
          <w:sz w:val="24"/>
        </w:rPr>
        <w:t xml:space="preserve"> created so many declines</w:t>
      </w:r>
      <w:r w:rsidR="002F3202" w:rsidRPr="0048163E">
        <w:rPr>
          <w:rFonts w:ascii="Times New Roman" w:hAnsi="Times New Roman" w:cs="Times New Roman"/>
          <w:i/>
          <w:sz w:val="24"/>
        </w:rPr>
        <w:t xml:space="preserve"> in</w:t>
      </w:r>
      <w:r w:rsidR="00885C6E" w:rsidRPr="0048163E">
        <w:rPr>
          <w:rFonts w:ascii="Times New Roman" w:hAnsi="Times New Roman" w:cs="Times New Roman"/>
          <w:i/>
          <w:sz w:val="24"/>
        </w:rPr>
        <w:t xml:space="preserve"> livelihood</w:t>
      </w:r>
      <w:r w:rsidR="0019137A">
        <w:rPr>
          <w:rFonts w:ascii="Times New Roman" w:hAnsi="Times New Roman" w:cs="Times New Roman"/>
          <w:i/>
          <w:sz w:val="24"/>
        </w:rPr>
        <w:t xml:space="preserve"> activities</w:t>
      </w:r>
      <w:r w:rsidR="00FB3199">
        <w:rPr>
          <w:rFonts w:ascii="Times New Roman" w:hAnsi="Times New Roman" w:cs="Times New Roman"/>
          <w:i/>
          <w:sz w:val="24"/>
        </w:rPr>
        <w:t>, which b</w:t>
      </w:r>
      <w:r w:rsidR="00AA4FE2">
        <w:rPr>
          <w:rFonts w:ascii="Times New Roman" w:hAnsi="Times New Roman" w:cs="Times New Roman"/>
          <w:i/>
          <w:sz w:val="24"/>
        </w:rPr>
        <w:t>eyond the economic considerations attached to the</w:t>
      </w:r>
      <w:r w:rsidR="00FB3199">
        <w:rPr>
          <w:rFonts w:ascii="Times New Roman" w:hAnsi="Times New Roman" w:cs="Times New Roman"/>
          <w:i/>
          <w:sz w:val="24"/>
        </w:rPr>
        <w:t xml:space="preserve"> said</w:t>
      </w:r>
      <w:r w:rsidR="00AA4FE2">
        <w:rPr>
          <w:rFonts w:ascii="Times New Roman" w:hAnsi="Times New Roman" w:cs="Times New Roman"/>
          <w:i/>
          <w:sz w:val="24"/>
        </w:rPr>
        <w:t xml:space="preserve"> various</w:t>
      </w:r>
      <w:r w:rsidR="00FB3199">
        <w:rPr>
          <w:rFonts w:ascii="Times New Roman" w:hAnsi="Times New Roman" w:cs="Times New Roman"/>
          <w:i/>
          <w:sz w:val="24"/>
        </w:rPr>
        <w:t xml:space="preserve"> anthropogenic activities in the mangrove ecosystem, has led </w:t>
      </w:r>
      <w:r w:rsidR="001E2BF6">
        <w:rPr>
          <w:rFonts w:ascii="Times New Roman" w:hAnsi="Times New Roman" w:cs="Times New Roman"/>
          <w:i/>
          <w:sz w:val="24"/>
        </w:rPr>
        <w:t>to the loss of economic values</w:t>
      </w:r>
      <w:r w:rsidR="00FB3199">
        <w:rPr>
          <w:rFonts w:ascii="Times New Roman" w:hAnsi="Times New Roman" w:cs="Times New Roman"/>
          <w:i/>
          <w:sz w:val="24"/>
        </w:rPr>
        <w:t xml:space="preserve"> resulting from the attendant e</w:t>
      </w:r>
      <w:r w:rsidR="004D0B52">
        <w:rPr>
          <w:rFonts w:ascii="Times New Roman" w:hAnsi="Times New Roman" w:cs="Times New Roman"/>
          <w:i/>
          <w:sz w:val="24"/>
        </w:rPr>
        <w:t xml:space="preserve">nvironmental degradation and </w:t>
      </w:r>
      <w:r w:rsidR="001E2BF6">
        <w:rPr>
          <w:rFonts w:ascii="Times New Roman" w:hAnsi="Times New Roman" w:cs="Times New Roman"/>
          <w:i/>
          <w:sz w:val="24"/>
        </w:rPr>
        <w:t xml:space="preserve">therefore </w:t>
      </w:r>
      <w:r w:rsidR="004D0B52">
        <w:rPr>
          <w:rFonts w:ascii="Times New Roman" w:hAnsi="Times New Roman" w:cs="Times New Roman"/>
          <w:i/>
          <w:sz w:val="24"/>
        </w:rPr>
        <w:t>requires</w:t>
      </w:r>
      <w:r w:rsidR="00FB3199">
        <w:rPr>
          <w:rFonts w:ascii="Times New Roman" w:hAnsi="Times New Roman" w:cs="Times New Roman"/>
          <w:i/>
          <w:sz w:val="24"/>
        </w:rPr>
        <w:t xml:space="preserve"> urgent attentions. </w:t>
      </w:r>
      <w:r w:rsidR="001E2BF6">
        <w:rPr>
          <w:rFonts w:ascii="Times New Roman" w:hAnsi="Times New Roman" w:cs="Times New Roman"/>
          <w:i/>
          <w:sz w:val="24"/>
        </w:rPr>
        <w:t>Two zonal areas</w:t>
      </w:r>
      <w:r w:rsidR="004D0B52">
        <w:rPr>
          <w:rFonts w:ascii="Times New Roman" w:hAnsi="Times New Roman" w:cs="Times New Roman"/>
          <w:i/>
          <w:sz w:val="24"/>
        </w:rPr>
        <w:t xml:space="preserve"> were selected for the study in Bayelsa State and Rivers State in the Nigeria’s Niger Delta. Investigations indicated a significant decline in the Rivers Zonal area than the Bayelsa State area because of the activities of illegal refining of crude petroleum in the Rivers State area. It is thus recommended by this study </w:t>
      </w:r>
      <w:r w:rsidR="004A3791">
        <w:rPr>
          <w:rFonts w:ascii="Times New Roman" w:hAnsi="Times New Roman" w:cs="Times New Roman"/>
          <w:i/>
          <w:sz w:val="24"/>
        </w:rPr>
        <w:t>for the</w:t>
      </w:r>
      <w:r w:rsidR="004D0B52">
        <w:rPr>
          <w:rFonts w:ascii="Times New Roman" w:hAnsi="Times New Roman" w:cs="Times New Roman"/>
          <w:i/>
          <w:sz w:val="24"/>
        </w:rPr>
        <w:t xml:space="preserve"> regular</w:t>
      </w:r>
      <w:r w:rsidR="004A3791">
        <w:rPr>
          <w:rFonts w:ascii="Times New Roman" w:hAnsi="Times New Roman" w:cs="Times New Roman"/>
          <w:i/>
          <w:sz w:val="24"/>
        </w:rPr>
        <w:t xml:space="preserve"> environmental audit through</w:t>
      </w:r>
      <w:r w:rsidR="004D0B52">
        <w:rPr>
          <w:rFonts w:ascii="Times New Roman" w:hAnsi="Times New Roman" w:cs="Times New Roman"/>
          <w:i/>
          <w:sz w:val="24"/>
        </w:rPr>
        <w:t xml:space="preserve"> environmental valuations to initiate action plans for conservations.</w:t>
      </w:r>
    </w:p>
    <w:p w14:paraId="1D4AC03F" w14:textId="77777777" w:rsidR="001E2BF6" w:rsidRDefault="001E2BF6" w:rsidP="0019137A">
      <w:pPr>
        <w:pStyle w:val="ListParagraph"/>
        <w:spacing w:after="0" w:line="240" w:lineRule="auto"/>
        <w:ind w:left="0"/>
        <w:jc w:val="both"/>
        <w:rPr>
          <w:rFonts w:ascii="Times New Roman" w:hAnsi="Times New Roman" w:cs="Times New Roman"/>
          <w:i/>
          <w:sz w:val="24"/>
        </w:rPr>
      </w:pPr>
    </w:p>
    <w:p w14:paraId="57BDE7E2" w14:textId="77777777" w:rsidR="001E2BF6" w:rsidRPr="001E2BF6" w:rsidRDefault="001E2BF6" w:rsidP="0019137A">
      <w:pPr>
        <w:pStyle w:val="ListParagraph"/>
        <w:spacing w:after="0" w:line="240" w:lineRule="auto"/>
        <w:ind w:left="0"/>
        <w:jc w:val="both"/>
        <w:rPr>
          <w:rFonts w:ascii="Times New Roman" w:hAnsi="Times New Roman" w:cs="Times New Roman"/>
          <w:sz w:val="24"/>
        </w:rPr>
      </w:pPr>
      <w:r w:rsidRPr="001E2BF6">
        <w:rPr>
          <w:rFonts w:ascii="Times New Roman" w:hAnsi="Times New Roman" w:cs="Times New Roman"/>
          <w:b/>
          <w:sz w:val="24"/>
        </w:rPr>
        <w:t>Keywords:</w:t>
      </w:r>
      <w:r>
        <w:rPr>
          <w:rFonts w:ascii="Times New Roman" w:hAnsi="Times New Roman" w:cs="Times New Roman"/>
          <w:sz w:val="24"/>
        </w:rPr>
        <w:t xml:space="preserve"> Niger Delta, mangrove ecosystem, flora and fauna, economic value</w:t>
      </w:r>
    </w:p>
    <w:p w14:paraId="2B75AF61" w14:textId="77777777" w:rsidR="00E267E1" w:rsidRDefault="00E267E1" w:rsidP="00165A11">
      <w:pPr>
        <w:pStyle w:val="ListParagraph"/>
        <w:spacing w:line="240" w:lineRule="auto"/>
        <w:ind w:left="0"/>
        <w:jc w:val="both"/>
        <w:rPr>
          <w:rFonts w:ascii="Times New Roman" w:hAnsi="Times New Roman" w:cs="Times New Roman"/>
          <w:sz w:val="24"/>
        </w:rPr>
      </w:pPr>
    </w:p>
    <w:p w14:paraId="5CD5F3C1" w14:textId="77777777" w:rsidR="00E267E1" w:rsidRDefault="00E267E1" w:rsidP="00221B45">
      <w:pPr>
        <w:pStyle w:val="ListParagraph"/>
        <w:ind w:left="0"/>
        <w:jc w:val="both"/>
        <w:rPr>
          <w:rFonts w:ascii="Times New Roman" w:hAnsi="Times New Roman" w:cs="Times New Roman"/>
          <w:sz w:val="24"/>
        </w:rPr>
      </w:pPr>
      <w:r>
        <w:rPr>
          <w:rFonts w:ascii="Times New Roman" w:hAnsi="Times New Roman" w:cs="Times New Roman"/>
          <w:sz w:val="24"/>
        </w:rPr>
        <w:t>INTRODUCTION</w:t>
      </w:r>
      <w:r w:rsidR="00E12514">
        <w:rPr>
          <w:rFonts w:ascii="Times New Roman" w:hAnsi="Times New Roman" w:cs="Times New Roman"/>
          <w:sz w:val="24"/>
        </w:rPr>
        <w:t xml:space="preserve"> </w:t>
      </w:r>
    </w:p>
    <w:p w14:paraId="16F512F3" w14:textId="77777777" w:rsidR="00E267E1" w:rsidRPr="00877914" w:rsidRDefault="00E267E1" w:rsidP="00877914">
      <w:pPr>
        <w:pStyle w:val="ListParagraph"/>
        <w:spacing w:line="240" w:lineRule="auto"/>
        <w:ind w:left="0"/>
        <w:jc w:val="both"/>
        <w:rPr>
          <w:rFonts w:ascii="Times New Roman" w:hAnsi="Times New Roman" w:cs="Times New Roman"/>
          <w:sz w:val="10"/>
        </w:rPr>
      </w:pPr>
    </w:p>
    <w:p w14:paraId="52E4B3F7" w14:textId="77777777" w:rsidR="002332FD" w:rsidRDefault="0004784B"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Environmental goods an</w:t>
      </w:r>
      <w:r w:rsidR="009432B0">
        <w:rPr>
          <w:rFonts w:ascii="Times New Roman" w:hAnsi="Times New Roman" w:cs="Times New Roman"/>
          <w:sz w:val="24"/>
        </w:rPr>
        <w:t>d services generally constitute</w:t>
      </w:r>
      <w:r>
        <w:rPr>
          <w:rFonts w:ascii="Times New Roman" w:hAnsi="Times New Roman" w:cs="Times New Roman"/>
          <w:sz w:val="24"/>
        </w:rPr>
        <w:t xml:space="preserve"> products and services</w:t>
      </w:r>
      <w:r w:rsidR="009432B0">
        <w:rPr>
          <w:rFonts w:ascii="Times New Roman" w:hAnsi="Times New Roman" w:cs="Times New Roman"/>
          <w:sz w:val="24"/>
        </w:rPr>
        <w:t xml:space="preserve"> that help </w:t>
      </w:r>
      <w:r w:rsidR="001022D7">
        <w:rPr>
          <w:rFonts w:ascii="Times New Roman" w:hAnsi="Times New Roman" w:cs="Times New Roman"/>
          <w:sz w:val="24"/>
        </w:rPr>
        <w:t xml:space="preserve">in the </w:t>
      </w:r>
      <w:r w:rsidR="009432B0">
        <w:rPr>
          <w:rFonts w:ascii="Times New Roman" w:hAnsi="Times New Roman" w:cs="Times New Roman"/>
          <w:sz w:val="24"/>
        </w:rPr>
        <w:t>protect</w:t>
      </w:r>
      <w:r w:rsidR="001022D7">
        <w:rPr>
          <w:rFonts w:ascii="Times New Roman" w:hAnsi="Times New Roman" w:cs="Times New Roman"/>
          <w:sz w:val="24"/>
        </w:rPr>
        <w:t>ion of</w:t>
      </w:r>
      <w:r w:rsidR="009432B0">
        <w:rPr>
          <w:rFonts w:ascii="Times New Roman" w:hAnsi="Times New Roman" w:cs="Times New Roman"/>
          <w:sz w:val="24"/>
        </w:rPr>
        <w:t xml:space="preserve"> the environment and manage natural resources. They are therefore the environmental benefits resulting from physical, chemical</w:t>
      </w:r>
      <w:r w:rsidR="002332FD">
        <w:rPr>
          <w:rFonts w:ascii="Times New Roman" w:hAnsi="Times New Roman" w:cs="Times New Roman"/>
          <w:sz w:val="24"/>
        </w:rPr>
        <w:t>, and biological functions of healthy ecosystem</w:t>
      </w:r>
      <w:r w:rsidR="00322F35">
        <w:rPr>
          <w:rFonts w:ascii="Times New Roman" w:hAnsi="Times New Roman" w:cs="Times New Roman"/>
          <w:sz w:val="24"/>
        </w:rPr>
        <w:t>. They</w:t>
      </w:r>
      <w:r w:rsidR="002332FD">
        <w:rPr>
          <w:rFonts w:ascii="Times New Roman" w:hAnsi="Times New Roman" w:cs="Times New Roman"/>
          <w:sz w:val="24"/>
        </w:rPr>
        <w:t xml:space="preserve"> include market goods produced from ecosystems (e.g. food, fiber, fuel, fresh and clean water, genetic processes etc.), and also the benefits from ecosystem processes which </w:t>
      </w:r>
      <w:r w:rsidR="00322F35">
        <w:rPr>
          <w:rFonts w:ascii="Times New Roman" w:hAnsi="Times New Roman" w:cs="Times New Roman"/>
          <w:sz w:val="24"/>
        </w:rPr>
        <w:t xml:space="preserve">may </w:t>
      </w:r>
      <w:r w:rsidR="002332FD">
        <w:rPr>
          <w:rFonts w:ascii="Times New Roman" w:hAnsi="Times New Roman" w:cs="Times New Roman"/>
          <w:sz w:val="24"/>
        </w:rPr>
        <w:t>include nutrient cycling, climate regulation, water purification, waste treatment, pollination etc. [1].</w:t>
      </w:r>
      <w:r w:rsidR="009432B0">
        <w:rPr>
          <w:rFonts w:ascii="Times New Roman" w:hAnsi="Times New Roman" w:cs="Times New Roman"/>
          <w:sz w:val="24"/>
        </w:rPr>
        <w:t xml:space="preserve"> </w:t>
      </w:r>
      <w:r w:rsidR="00EB5254">
        <w:rPr>
          <w:rFonts w:ascii="Times New Roman" w:hAnsi="Times New Roman" w:cs="Times New Roman"/>
          <w:sz w:val="24"/>
        </w:rPr>
        <w:t>Economic</w:t>
      </w:r>
      <w:r w:rsidR="001022D7">
        <w:rPr>
          <w:rFonts w:ascii="Times New Roman" w:hAnsi="Times New Roman" w:cs="Times New Roman"/>
          <w:sz w:val="24"/>
        </w:rPr>
        <w:t xml:space="preserve"> value</w:t>
      </w:r>
      <w:r w:rsidR="00EB5254">
        <w:rPr>
          <w:rFonts w:ascii="Times New Roman" w:hAnsi="Times New Roman" w:cs="Times New Roman"/>
          <w:sz w:val="24"/>
        </w:rPr>
        <w:t xml:space="preserve"> potentials are latent economic qualities or abilities that may be developed and lead to future success or usefulness. </w:t>
      </w:r>
      <w:r w:rsidR="00E302CF">
        <w:rPr>
          <w:rFonts w:ascii="Times New Roman" w:hAnsi="Times New Roman" w:cs="Times New Roman"/>
          <w:sz w:val="24"/>
        </w:rPr>
        <w:t>The value that person</w:t>
      </w:r>
      <w:r w:rsidR="00FA1439">
        <w:rPr>
          <w:rFonts w:ascii="Times New Roman" w:hAnsi="Times New Roman" w:cs="Times New Roman"/>
          <w:sz w:val="24"/>
        </w:rPr>
        <w:t>s</w:t>
      </w:r>
      <w:r w:rsidR="00E302CF">
        <w:rPr>
          <w:rFonts w:ascii="Times New Roman" w:hAnsi="Times New Roman" w:cs="Times New Roman"/>
          <w:sz w:val="24"/>
        </w:rPr>
        <w:t xml:space="preserve"> places on an economic good or service, based on the benefit they derive from it is </w:t>
      </w:r>
      <w:r w:rsidR="00FA1439">
        <w:rPr>
          <w:rFonts w:ascii="Times New Roman" w:hAnsi="Times New Roman" w:cs="Times New Roman"/>
          <w:sz w:val="24"/>
        </w:rPr>
        <w:t xml:space="preserve">what is referred to as </w:t>
      </w:r>
      <w:r w:rsidR="00EB5254" w:rsidRPr="00205597">
        <w:rPr>
          <w:rFonts w:ascii="Times New Roman" w:hAnsi="Times New Roman" w:cs="Times New Roman"/>
          <w:sz w:val="24"/>
          <w:highlight w:val="yellow"/>
        </w:rPr>
        <w:t>E</w:t>
      </w:r>
      <w:r w:rsidR="00EB5254">
        <w:rPr>
          <w:rFonts w:ascii="Times New Roman" w:hAnsi="Times New Roman" w:cs="Times New Roman"/>
          <w:sz w:val="24"/>
        </w:rPr>
        <w:t>conomic value</w:t>
      </w:r>
      <w:r w:rsidR="00E302CF">
        <w:rPr>
          <w:rFonts w:ascii="Times New Roman" w:hAnsi="Times New Roman" w:cs="Times New Roman"/>
          <w:sz w:val="24"/>
        </w:rPr>
        <w:t xml:space="preserve"> [2].</w:t>
      </w:r>
      <w:r w:rsidR="00EB5254">
        <w:rPr>
          <w:rFonts w:ascii="Times New Roman" w:hAnsi="Times New Roman" w:cs="Times New Roman"/>
          <w:sz w:val="24"/>
        </w:rPr>
        <w:t xml:space="preserve"> </w:t>
      </w:r>
    </w:p>
    <w:p w14:paraId="2AD8F3B5" w14:textId="77777777" w:rsidR="00496972" w:rsidRDefault="0048163E"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The N</w:t>
      </w:r>
      <w:r w:rsidR="00FA1439">
        <w:rPr>
          <w:rFonts w:ascii="Times New Roman" w:hAnsi="Times New Roman" w:cs="Times New Roman"/>
          <w:sz w:val="24"/>
        </w:rPr>
        <w:t>iger Delta mangrove ecosystem encompasses diverse ecological zones which include coastal inland zone, middle mangrove swamp forests, fresh water swamps, and landward mangrove zones, covering an area of approximately 1900</w:t>
      </w:r>
      <w:r w:rsidR="0062445A">
        <w:rPr>
          <w:rFonts w:ascii="Times New Roman" w:hAnsi="Times New Roman" w:cs="Times New Roman"/>
          <w:sz w:val="24"/>
        </w:rPr>
        <w:t xml:space="preserve"> </w:t>
      </w:r>
      <w:r w:rsidR="00FA1439">
        <w:rPr>
          <w:rFonts w:ascii="Times New Roman" w:hAnsi="Times New Roman" w:cs="Times New Roman"/>
          <w:sz w:val="24"/>
        </w:rPr>
        <w:t>km</w:t>
      </w:r>
      <w:r w:rsidR="00FA1439" w:rsidRPr="0062445A">
        <w:rPr>
          <w:rFonts w:ascii="Times New Roman" w:hAnsi="Times New Roman" w:cs="Times New Roman"/>
          <w:sz w:val="24"/>
          <w:vertAlign w:val="superscript"/>
        </w:rPr>
        <w:t>2</w:t>
      </w:r>
      <w:r w:rsidR="00FA1439">
        <w:rPr>
          <w:rFonts w:ascii="Times New Roman" w:hAnsi="Times New Roman" w:cs="Times New Roman"/>
          <w:sz w:val="24"/>
        </w:rPr>
        <w:t xml:space="preserve"> wherein </w:t>
      </w:r>
      <w:r w:rsidR="005A77AE">
        <w:rPr>
          <w:rFonts w:ascii="Times New Roman" w:hAnsi="Times New Roman" w:cs="Times New Roman"/>
          <w:sz w:val="24"/>
        </w:rPr>
        <w:t>several biodiversity and essential ecosystem services are available for the sustenance of millions of people in the region [3].</w:t>
      </w:r>
      <w:r w:rsidR="0051399B">
        <w:rPr>
          <w:rFonts w:ascii="Times New Roman" w:hAnsi="Times New Roman" w:cs="Times New Roman"/>
          <w:sz w:val="24"/>
        </w:rPr>
        <w:t xml:space="preserve"> In </w:t>
      </w:r>
      <w:r w:rsidR="00214F5B">
        <w:rPr>
          <w:rFonts w:ascii="Times New Roman" w:hAnsi="Times New Roman" w:cs="Times New Roman"/>
          <w:sz w:val="24"/>
        </w:rPr>
        <w:t xml:space="preserve">the face of the dependence upon the ecosystem by the inhabitants of the region, the ecosystem faces significant threats from anthropogenic activities such as oil exploration and exploitation, deforestation for other purposes, over harvesting of the component resources, and land use processes, all of which has resulted in the cumulative effect of significant depletion with an attendant loss of livelihoods of the coastal communities whose wellbeing had been </w:t>
      </w:r>
      <w:r w:rsidR="00322F35">
        <w:rPr>
          <w:rFonts w:ascii="Times New Roman" w:hAnsi="Times New Roman" w:cs="Times New Roman"/>
          <w:sz w:val="24"/>
        </w:rPr>
        <w:t xml:space="preserve">generally </w:t>
      </w:r>
      <w:r w:rsidR="00214F5B">
        <w:rPr>
          <w:rFonts w:ascii="Times New Roman" w:hAnsi="Times New Roman" w:cs="Times New Roman"/>
          <w:sz w:val="24"/>
        </w:rPr>
        <w:t>dependent on the mangrove ecosystem.</w:t>
      </w:r>
      <w:r w:rsidR="00496972">
        <w:rPr>
          <w:rFonts w:ascii="Times New Roman" w:hAnsi="Times New Roman" w:cs="Times New Roman"/>
          <w:sz w:val="24"/>
        </w:rPr>
        <w:t xml:space="preserve"> </w:t>
      </w:r>
    </w:p>
    <w:p w14:paraId="600A2C96" w14:textId="77777777" w:rsidR="00264F77" w:rsidRDefault="00496972"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Going by this description, the mangrove biome supports a wide range of communities that rely on it for their livelihoods [4]. Researchers have identified as much as 70 uses of mangroves in the Niger Delta to include fishing, firewood, building materials, flood protection, medicine, leisure, tourism, spiritual</w:t>
      </w:r>
      <w:r w:rsidR="0026607C">
        <w:rPr>
          <w:rFonts w:ascii="Times New Roman" w:hAnsi="Times New Roman" w:cs="Times New Roman"/>
          <w:sz w:val="24"/>
        </w:rPr>
        <w:t xml:space="preserve"> values etc. [5]. While these are available as the potentials for economic value in the Niger Delta regional mangrove, there is a continuous decline of the components of the ecosystem [6],</w:t>
      </w:r>
      <w:r w:rsidR="001D0CC6">
        <w:rPr>
          <w:rFonts w:ascii="Times New Roman" w:hAnsi="Times New Roman" w:cs="Times New Roman"/>
          <w:sz w:val="24"/>
        </w:rPr>
        <w:t xml:space="preserve"> </w:t>
      </w:r>
      <w:r w:rsidR="001D0CC6">
        <w:rPr>
          <w:rFonts w:ascii="Times New Roman" w:hAnsi="Times New Roman" w:cs="Times New Roman"/>
          <w:sz w:val="24"/>
        </w:rPr>
        <w:lastRenderedPageBreak/>
        <w:t xml:space="preserve">reducing the said potentials and incapacitating the </w:t>
      </w:r>
      <w:r w:rsidR="005C56C4">
        <w:rPr>
          <w:rFonts w:ascii="Times New Roman" w:hAnsi="Times New Roman" w:cs="Times New Roman"/>
          <w:sz w:val="24"/>
        </w:rPr>
        <w:t>complexity of mangrove’s functional role as the mainstay of the people in the region,</w:t>
      </w:r>
      <w:r w:rsidR="0026607C">
        <w:rPr>
          <w:rFonts w:ascii="Times New Roman" w:hAnsi="Times New Roman" w:cs="Times New Roman"/>
          <w:sz w:val="24"/>
        </w:rPr>
        <w:t xml:space="preserve"> </w:t>
      </w:r>
      <w:r w:rsidR="0062445A">
        <w:rPr>
          <w:rFonts w:ascii="Times New Roman" w:hAnsi="Times New Roman" w:cs="Times New Roman"/>
          <w:sz w:val="24"/>
        </w:rPr>
        <w:t xml:space="preserve">thereby </w:t>
      </w:r>
      <w:r w:rsidR="0026607C">
        <w:rPr>
          <w:rFonts w:ascii="Times New Roman" w:hAnsi="Times New Roman" w:cs="Times New Roman"/>
          <w:sz w:val="24"/>
        </w:rPr>
        <w:t>calling for the prioritization of the implementation of conservation actions [7].</w:t>
      </w:r>
      <w:r w:rsidR="005C56C4">
        <w:rPr>
          <w:rFonts w:ascii="Times New Roman" w:hAnsi="Times New Roman" w:cs="Times New Roman"/>
          <w:sz w:val="24"/>
        </w:rPr>
        <w:t xml:space="preserve"> It is thus noted that there are factors that serv</w:t>
      </w:r>
      <w:r w:rsidR="002B2993">
        <w:rPr>
          <w:rFonts w:ascii="Times New Roman" w:hAnsi="Times New Roman" w:cs="Times New Roman"/>
          <w:sz w:val="24"/>
        </w:rPr>
        <w:t>e</w:t>
      </w:r>
      <w:r w:rsidR="005C56C4">
        <w:rPr>
          <w:rFonts w:ascii="Times New Roman" w:hAnsi="Times New Roman" w:cs="Times New Roman"/>
          <w:sz w:val="24"/>
        </w:rPr>
        <w:t xml:space="preserve"> as drivers</w:t>
      </w:r>
      <w:r w:rsidR="002B2993">
        <w:rPr>
          <w:rFonts w:ascii="Times New Roman" w:hAnsi="Times New Roman" w:cs="Times New Roman"/>
          <w:sz w:val="24"/>
        </w:rPr>
        <w:t>,</w:t>
      </w:r>
      <w:r w:rsidR="005C56C4">
        <w:rPr>
          <w:rFonts w:ascii="Times New Roman" w:hAnsi="Times New Roman" w:cs="Times New Roman"/>
          <w:sz w:val="24"/>
        </w:rPr>
        <w:t xml:space="preserve"> as well as impacts of the said anthropogenic disturbances and they stem on deforestation and land use change, invasive species [3], and in recent development, illegal refining of crude petroleum which</w:t>
      </w:r>
      <w:r w:rsidR="00F068AD">
        <w:rPr>
          <w:rFonts w:ascii="Times New Roman" w:hAnsi="Times New Roman" w:cs="Times New Roman"/>
          <w:sz w:val="24"/>
        </w:rPr>
        <w:t xml:space="preserve"> is</w:t>
      </w:r>
      <w:r w:rsidR="005C56C4">
        <w:rPr>
          <w:rFonts w:ascii="Times New Roman" w:hAnsi="Times New Roman" w:cs="Times New Roman"/>
          <w:sz w:val="24"/>
        </w:rPr>
        <w:t xml:space="preserve"> a</w:t>
      </w:r>
      <w:r w:rsidR="001F7708">
        <w:rPr>
          <w:rFonts w:ascii="Times New Roman" w:hAnsi="Times New Roman" w:cs="Times New Roman"/>
          <w:sz w:val="24"/>
        </w:rPr>
        <w:t>ssociated with pipeline vandaliz</w:t>
      </w:r>
      <w:r w:rsidR="005C56C4">
        <w:rPr>
          <w:rFonts w:ascii="Times New Roman" w:hAnsi="Times New Roman" w:cs="Times New Roman"/>
          <w:sz w:val="24"/>
        </w:rPr>
        <w:t xml:space="preserve">ation and careless spill of </w:t>
      </w:r>
      <w:r w:rsidR="00322F35">
        <w:rPr>
          <w:rFonts w:ascii="Times New Roman" w:hAnsi="Times New Roman" w:cs="Times New Roman"/>
          <w:sz w:val="24"/>
        </w:rPr>
        <w:t>oil in the creeks and mangroves, giving rise to</w:t>
      </w:r>
      <w:r w:rsidR="0062445A">
        <w:rPr>
          <w:rFonts w:ascii="Times New Roman" w:hAnsi="Times New Roman" w:cs="Times New Roman"/>
          <w:sz w:val="24"/>
        </w:rPr>
        <w:t xml:space="preserve"> the said</w:t>
      </w:r>
      <w:r w:rsidR="008A1417">
        <w:rPr>
          <w:rFonts w:ascii="Times New Roman" w:hAnsi="Times New Roman" w:cs="Times New Roman"/>
          <w:sz w:val="24"/>
        </w:rPr>
        <w:t xml:space="preserve"> decline in rural livelihood</w:t>
      </w:r>
      <w:r w:rsidR="0062445A">
        <w:rPr>
          <w:rFonts w:ascii="Times New Roman" w:hAnsi="Times New Roman" w:cs="Times New Roman"/>
          <w:sz w:val="24"/>
        </w:rPr>
        <w:t>,</w:t>
      </w:r>
      <w:r w:rsidR="008A1417">
        <w:rPr>
          <w:rFonts w:ascii="Times New Roman" w:hAnsi="Times New Roman" w:cs="Times New Roman"/>
          <w:sz w:val="24"/>
        </w:rPr>
        <w:t xml:space="preserve"> owing to damage on </w:t>
      </w:r>
      <w:r w:rsidR="002B2993">
        <w:rPr>
          <w:rFonts w:ascii="Times New Roman" w:hAnsi="Times New Roman" w:cs="Times New Roman"/>
          <w:sz w:val="24"/>
        </w:rPr>
        <w:t xml:space="preserve">mangrove </w:t>
      </w:r>
      <w:r w:rsidR="00B44CAA">
        <w:rPr>
          <w:rFonts w:ascii="Times New Roman" w:hAnsi="Times New Roman" w:cs="Times New Roman"/>
          <w:sz w:val="24"/>
        </w:rPr>
        <w:t>flora and fauna</w:t>
      </w:r>
      <w:r w:rsidR="0062445A">
        <w:rPr>
          <w:rFonts w:ascii="Times New Roman" w:hAnsi="Times New Roman" w:cs="Times New Roman"/>
          <w:sz w:val="24"/>
        </w:rPr>
        <w:t>,</w:t>
      </w:r>
      <w:r w:rsidR="00B44CAA">
        <w:rPr>
          <w:rFonts w:ascii="Times New Roman" w:hAnsi="Times New Roman" w:cs="Times New Roman"/>
          <w:sz w:val="24"/>
        </w:rPr>
        <w:t xml:space="preserve"> </w:t>
      </w:r>
      <w:r w:rsidR="00322F35">
        <w:rPr>
          <w:rFonts w:ascii="Times New Roman" w:hAnsi="Times New Roman" w:cs="Times New Roman"/>
          <w:sz w:val="24"/>
        </w:rPr>
        <w:t xml:space="preserve">upon </w:t>
      </w:r>
      <w:r w:rsidR="00B44CAA">
        <w:rPr>
          <w:rFonts w:ascii="Times New Roman" w:hAnsi="Times New Roman" w:cs="Times New Roman"/>
          <w:sz w:val="24"/>
        </w:rPr>
        <w:t>which</w:t>
      </w:r>
      <w:r w:rsidR="00322F35">
        <w:rPr>
          <w:rFonts w:ascii="Times New Roman" w:hAnsi="Times New Roman" w:cs="Times New Roman"/>
          <w:sz w:val="24"/>
        </w:rPr>
        <w:t xml:space="preserve"> </w:t>
      </w:r>
      <w:r w:rsidR="008A1417">
        <w:rPr>
          <w:rFonts w:ascii="Times New Roman" w:hAnsi="Times New Roman" w:cs="Times New Roman"/>
          <w:sz w:val="24"/>
        </w:rPr>
        <w:t xml:space="preserve"> the wellbeing of the coastal community</w:t>
      </w:r>
      <w:r w:rsidR="001022D7">
        <w:rPr>
          <w:rFonts w:ascii="Times New Roman" w:hAnsi="Times New Roman" w:cs="Times New Roman"/>
          <w:sz w:val="24"/>
        </w:rPr>
        <w:t xml:space="preserve"> is </w:t>
      </w:r>
      <w:r w:rsidR="00322F35">
        <w:rPr>
          <w:rFonts w:ascii="Times New Roman" w:hAnsi="Times New Roman" w:cs="Times New Roman"/>
          <w:sz w:val="24"/>
        </w:rPr>
        <w:t>dependent</w:t>
      </w:r>
      <w:r w:rsidR="00264F77">
        <w:rPr>
          <w:rFonts w:ascii="Times New Roman" w:hAnsi="Times New Roman" w:cs="Times New Roman"/>
          <w:sz w:val="24"/>
        </w:rPr>
        <w:t>.</w:t>
      </w:r>
    </w:p>
    <w:p w14:paraId="015D5B6D" w14:textId="77777777" w:rsidR="004D0B52" w:rsidRDefault="00264F77"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 xml:space="preserve">The economic impact of oil and gas </w:t>
      </w:r>
      <w:r w:rsidR="0062445A">
        <w:rPr>
          <w:rFonts w:ascii="Times New Roman" w:hAnsi="Times New Roman" w:cs="Times New Roman"/>
          <w:sz w:val="24"/>
        </w:rPr>
        <w:t xml:space="preserve">related </w:t>
      </w:r>
      <w:r>
        <w:rPr>
          <w:rFonts w:ascii="Times New Roman" w:hAnsi="Times New Roman" w:cs="Times New Roman"/>
          <w:sz w:val="24"/>
        </w:rPr>
        <w:t xml:space="preserve">activities </w:t>
      </w:r>
      <w:r w:rsidR="0062445A">
        <w:rPr>
          <w:rFonts w:ascii="Times New Roman" w:hAnsi="Times New Roman" w:cs="Times New Roman"/>
          <w:sz w:val="24"/>
        </w:rPr>
        <w:t xml:space="preserve">which is </w:t>
      </w:r>
      <w:r>
        <w:rPr>
          <w:rFonts w:ascii="Times New Roman" w:hAnsi="Times New Roman" w:cs="Times New Roman"/>
          <w:sz w:val="24"/>
        </w:rPr>
        <w:t>associated with</w:t>
      </w:r>
      <w:r w:rsidR="00AE1DBC">
        <w:rPr>
          <w:rFonts w:ascii="Times New Roman" w:hAnsi="Times New Roman" w:cs="Times New Roman"/>
          <w:sz w:val="24"/>
        </w:rPr>
        <w:t xml:space="preserve"> illegal refining</w:t>
      </w:r>
      <w:r w:rsidR="0062445A">
        <w:rPr>
          <w:rFonts w:ascii="Times New Roman" w:hAnsi="Times New Roman" w:cs="Times New Roman"/>
          <w:sz w:val="24"/>
        </w:rPr>
        <w:t>,</w:t>
      </w:r>
      <w:r w:rsidR="00AE1DBC">
        <w:rPr>
          <w:rFonts w:ascii="Times New Roman" w:hAnsi="Times New Roman" w:cs="Times New Roman"/>
          <w:sz w:val="24"/>
        </w:rPr>
        <w:t xml:space="preserve"> has been wide</w:t>
      </w:r>
      <w:r>
        <w:rPr>
          <w:rFonts w:ascii="Times New Roman" w:hAnsi="Times New Roman" w:cs="Times New Roman"/>
          <w:sz w:val="24"/>
        </w:rPr>
        <w:t xml:space="preserve">ly reported but with a consideration of </w:t>
      </w:r>
      <w:r w:rsidR="00AE1DBC">
        <w:rPr>
          <w:rFonts w:ascii="Times New Roman" w:hAnsi="Times New Roman" w:cs="Times New Roman"/>
          <w:sz w:val="24"/>
        </w:rPr>
        <w:t>misplaced administrative strategy on the side of the Federal government who granted amnesty to those of the agitating militant youths of the regi</w:t>
      </w:r>
      <w:r w:rsidR="00C8734D">
        <w:rPr>
          <w:rFonts w:ascii="Times New Roman" w:hAnsi="Times New Roman" w:cs="Times New Roman"/>
          <w:sz w:val="24"/>
        </w:rPr>
        <w:t>on, who in the process,</w:t>
      </w:r>
      <w:r w:rsidR="00AE1DBC">
        <w:rPr>
          <w:rFonts w:ascii="Times New Roman" w:hAnsi="Times New Roman" w:cs="Times New Roman"/>
          <w:sz w:val="24"/>
        </w:rPr>
        <w:t xml:space="preserve"> decided to drop their arms, leaving behind the non-violent ones who now resort to the idea of illegal refining of c</w:t>
      </w:r>
      <w:r w:rsidR="008075B0">
        <w:rPr>
          <w:rFonts w:ascii="Times New Roman" w:hAnsi="Times New Roman" w:cs="Times New Roman"/>
          <w:sz w:val="24"/>
        </w:rPr>
        <w:t xml:space="preserve">rude for their survival </w:t>
      </w:r>
      <w:r w:rsidR="008075B0" w:rsidRPr="00205597">
        <w:rPr>
          <w:rFonts w:ascii="Times New Roman" w:hAnsi="Times New Roman" w:cs="Times New Roman"/>
          <w:sz w:val="24"/>
          <w:highlight w:val="yellow"/>
        </w:rPr>
        <w:t>[</w:t>
      </w:r>
      <w:r w:rsidR="00AE1DBC" w:rsidRPr="00205597">
        <w:rPr>
          <w:rFonts w:ascii="Times New Roman" w:hAnsi="Times New Roman" w:cs="Times New Roman"/>
          <w:sz w:val="24"/>
          <w:highlight w:val="yellow"/>
        </w:rPr>
        <w:t>8</w:t>
      </w:r>
      <w:r w:rsidR="008075B0" w:rsidRPr="00205597">
        <w:rPr>
          <w:rFonts w:ascii="Times New Roman" w:hAnsi="Times New Roman" w:cs="Times New Roman"/>
          <w:sz w:val="24"/>
          <w:highlight w:val="yellow"/>
        </w:rPr>
        <w:t>]</w:t>
      </w:r>
      <w:r w:rsidR="00AE1DBC" w:rsidRPr="00205597">
        <w:rPr>
          <w:rFonts w:ascii="Times New Roman" w:hAnsi="Times New Roman" w:cs="Times New Roman"/>
          <w:sz w:val="24"/>
          <w:highlight w:val="yellow"/>
        </w:rPr>
        <w:t xml:space="preserve"> &amp; </w:t>
      </w:r>
      <w:r w:rsidR="008075B0" w:rsidRPr="00205597">
        <w:rPr>
          <w:rFonts w:ascii="Times New Roman" w:hAnsi="Times New Roman" w:cs="Times New Roman"/>
          <w:sz w:val="24"/>
          <w:highlight w:val="yellow"/>
        </w:rPr>
        <w:t>[</w:t>
      </w:r>
      <w:r w:rsidR="00AE1DBC" w:rsidRPr="00205597">
        <w:rPr>
          <w:rFonts w:ascii="Times New Roman" w:hAnsi="Times New Roman" w:cs="Times New Roman"/>
          <w:sz w:val="24"/>
          <w:highlight w:val="yellow"/>
        </w:rPr>
        <w:t>9</w:t>
      </w:r>
      <w:r w:rsidR="008075B0" w:rsidRPr="00205597">
        <w:rPr>
          <w:rFonts w:ascii="Times New Roman" w:hAnsi="Times New Roman" w:cs="Times New Roman"/>
          <w:sz w:val="24"/>
          <w:highlight w:val="yellow"/>
        </w:rPr>
        <w:t>]</w:t>
      </w:r>
      <w:r w:rsidR="00C8734D" w:rsidRPr="00205597">
        <w:rPr>
          <w:rFonts w:ascii="Times New Roman" w:hAnsi="Times New Roman" w:cs="Times New Roman"/>
          <w:sz w:val="24"/>
          <w:highlight w:val="yellow"/>
        </w:rPr>
        <w:t>.</w:t>
      </w:r>
      <w:r w:rsidR="00C8734D">
        <w:rPr>
          <w:rFonts w:ascii="Times New Roman" w:hAnsi="Times New Roman" w:cs="Times New Roman"/>
          <w:sz w:val="24"/>
        </w:rPr>
        <w:t xml:space="preserve"> This development is </w:t>
      </w:r>
      <w:r w:rsidR="00AE1DBC">
        <w:rPr>
          <w:rFonts w:ascii="Times New Roman" w:hAnsi="Times New Roman" w:cs="Times New Roman"/>
          <w:sz w:val="24"/>
        </w:rPr>
        <w:t>without the</w:t>
      </w:r>
      <w:r w:rsidR="008075B0">
        <w:rPr>
          <w:rFonts w:ascii="Times New Roman" w:hAnsi="Times New Roman" w:cs="Times New Roman"/>
          <w:sz w:val="24"/>
        </w:rPr>
        <w:t xml:space="preserve"> consideration of the impact</w:t>
      </w:r>
      <w:r w:rsidR="00AE1DBC">
        <w:rPr>
          <w:rFonts w:ascii="Times New Roman" w:hAnsi="Times New Roman" w:cs="Times New Roman"/>
          <w:sz w:val="24"/>
        </w:rPr>
        <w:t xml:space="preserve"> of the activity on rural livelihood</w:t>
      </w:r>
      <w:r w:rsidR="002B2993">
        <w:rPr>
          <w:rFonts w:ascii="Times New Roman" w:hAnsi="Times New Roman" w:cs="Times New Roman"/>
          <w:sz w:val="24"/>
        </w:rPr>
        <w:t xml:space="preserve"> and has thus</w:t>
      </w:r>
      <w:r w:rsidR="008075B0">
        <w:rPr>
          <w:rFonts w:ascii="Times New Roman" w:hAnsi="Times New Roman" w:cs="Times New Roman"/>
          <w:sz w:val="24"/>
        </w:rPr>
        <w:t xml:space="preserve"> c</w:t>
      </w:r>
      <w:r w:rsidR="002B2993">
        <w:rPr>
          <w:rFonts w:ascii="Times New Roman" w:hAnsi="Times New Roman" w:cs="Times New Roman"/>
          <w:sz w:val="24"/>
        </w:rPr>
        <w:t>reated</w:t>
      </w:r>
      <w:r w:rsidR="008075B0">
        <w:rPr>
          <w:rFonts w:ascii="Times New Roman" w:hAnsi="Times New Roman" w:cs="Times New Roman"/>
          <w:sz w:val="24"/>
        </w:rPr>
        <w:t xml:space="preserve"> the need for this paper which is aimed at auditing the effects of unsustainable exploitation of the mangrove ecosystem upon the floristic and fauna composition as well as the economic value potentials of the Niger De</w:t>
      </w:r>
      <w:r w:rsidR="002B2993">
        <w:rPr>
          <w:rFonts w:ascii="Times New Roman" w:hAnsi="Times New Roman" w:cs="Times New Roman"/>
          <w:sz w:val="24"/>
        </w:rPr>
        <w:t>lta mangrove ecosystem to beef up</w:t>
      </w:r>
      <w:r w:rsidR="008075B0">
        <w:rPr>
          <w:rFonts w:ascii="Times New Roman" w:hAnsi="Times New Roman" w:cs="Times New Roman"/>
          <w:sz w:val="24"/>
        </w:rPr>
        <w:t xml:space="preserve"> </w:t>
      </w:r>
      <w:r w:rsidR="003738A6">
        <w:rPr>
          <w:rFonts w:ascii="Times New Roman" w:hAnsi="Times New Roman" w:cs="Times New Roman"/>
          <w:sz w:val="24"/>
        </w:rPr>
        <w:t>awareness over</w:t>
      </w:r>
      <w:r w:rsidR="008075B0">
        <w:rPr>
          <w:rFonts w:ascii="Times New Roman" w:hAnsi="Times New Roman" w:cs="Times New Roman"/>
          <w:sz w:val="24"/>
        </w:rPr>
        <w:t xml:space="preserve"> the need for action plans for sustainable use of the ecosystem.</w:t>
      </w:r>
    </w:p>
    <w:p w14:paraId="75890B68" w14:textId="77777777" w:rsidR="004D0B52" w:rsidRDefault="004D0B52" w:rsidP="00165A11">
      <w:pPr>
        <w:pStyle w:val="ListParagraph"/>
        <w:spacing w:line="240" w:lineRule="auto"/>
        <w:ind w:left="0"/>
        <w:jc w:val="both"/>
        <w:rPr>
          <w:rFonts w:ascii="Times New Roman" w:hAnsi="Times New Roman" w:cs="Times New Roman"/>
          <w:sz w:val="24"/>
        </w:rPr>
      </w:pPr>
    </w:p>
    <w:p w14:paraId="2587986F" w14:textId="77777777" w:rsidR="00071DCD" w:rsidRDefault="004D0B52"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LITERATURE REVIEW</w:t>
      </w:r>
      <w:r w:rsidR="00264F77">
        <w:rPr>
          <w:rFonts w:ascii="Times New Roman" w:hAnsi="Times New Roman" w:cs="Times New Roman"/>
          <w:sz w:val="24"/>
        </w:rPr>
        <w:t xml:space="preserve"> </w:t>
      </w:r>
      <w:r w:rsidR="005C56C4">
        <w:rPr>
          <w:rFonts w:ascii="Times New Roman" w:hAnsi="Times New Roman" w:cs="Times New Roman"/>
          <w:sz w:val="24"/>
        </w:rPr>
        <w:t xml:space="preserve"> </w:t>
      </w:r>
    </w:p>
    <w:p w14:paraId="5DEF9EE2" w14:textId="77777777" w:rsidR="00C70817" w:rsidRDefault="00C70817" w:rsidP="00165A11">
      <w:pPr>
        <w:pStyle w:val="ListParagraph"/>
        <w:spacing w:line="240" w:lineRule="auto"/>
        <w:ind w:left="0"/>
        <w:jc w:val="both"/>
        <w:rPr>
          <w:rFonts w:ascii="Times New Roman" w:hAnsi="Times New Roman" w:cs="Times New Roman"/>
          <w:sz w:val="24"/>
        </w:rPr>
      </w:pPr>
    </w:p>
    <w:p w14:paraId="4CAF25A8" w14:textId="77777777" w:rsidR="00C70817" w:rsidRDefault="00C70817" w:rsidP="00165A11">
      <w:pPr>
        <w:pStyle w:val="ListParagraph"/>
        <w:spacing w:line="240" w:lineRule="auto"/>
        <w:ind w:left="0"/>
        <w:jc w:val="both"/>
        <w:rPr>
          <w:rFonts w:ascii="Times New Roman" w:hAnsi="Times New Roman" w:cs="Times New Roman"/>
          <w:b/>
          <w:sz w:val="24"/>
        </w:rPr>
      </w:pPr>
      <w:r>
        <w:rPr>
          <w:rFonts w:ascii="Times New Roman" w:hAnsi="Times New Roman" w:cs="Times New Roman"/>
          <w:b/>
          <w:sz w:val="24"/>
        </w:rPr>
        <w:t>Study Area</w:t>
      </w:r>
    </w:p>
    <w:p w14:paraId="76448AE6" w14:textId="77777777" w:rsidR="00C70817" w:rsidRPr="00C70817" w:rsidRDefault="00C70817" w:rsidP="00165A11">
      <w:pPr>
        <w:pStyle w:val="ListParagraph"/>
        <w:spacing w:line="240" w:lineRule="auto"/>
        <w:ind w:left="0"/>
        <w:jc w:val="both"/>
        <w:rPr>
          <w:rFonts w:ascii="Times New Roman" w:hAnsi="Times New Roman" w:cs="Times New Roman"/>
          <w:sz w:val="24"/>
        </w:rPr>
      </w:pPr>
    </w:p>
    <w:p w14:paraId="3E9196D6" w14:textId="77777777" w:rsidR="001A63DB" w:rsidRDefault="00064CF7"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The Niger Delta is a geographical area that could be described with reference to its natural</w:t>
      </w:r>
      <w:r w:rsidR="009B2023">
        <w:rPr>
          <w:rFonts w:ascii="Times New Roman" w:hAnsi="Times New Roman" w:cs="Times New Roman"/>
          <w:sz w:val="24"/>
        </w:rPr>
        <w:t xml:space="preserve">/geologic characteristics but in recent time, political and </w:t>
      </w:r>
      <w:r w:rsidR="0028114B">
        <w:rPr>
          <w:rFonts w:ascii="Times New Roman" w:hAnsi="Times New Roman" w:cs="Times New Roman"/>
          <w:sz w:val="24"/>
        </w:rPr>
        <w:t>economic reasons have given rise to operational definitions for different purposes [10].</w:t>
      </w:r>
      <w:r>
        <w:rPr>
          <w:rFonts w:ascii="Times New Roman" w:hAnsi="Times New Roman" w:cs="Times New Roman"/>
          <w:sz w:val="24"/>
        </w:rPr>
        <w:t xml:space="preserve"> </w:t>
      </w:r>
      <w:r w:rsidR="004E22AB">
        <w:rPr>
          <w:rFonts w:ascii="Times New Roman" w:hAnsi="Times New Roman" w:cs="Times New Roman"/>
          <w:sz w:val="24"/>
        </w:rPr>
        <w:t xml:space="preserve">However, </w:t>
      </w:r>
      <w:r w:rsidR="00911CAF">
        <w:rPr>
          <w:rFonts w:ascii="Times New Roman" w:hAnsi="Times New Roman" w:cs="Times New Roman"/>
          <w:sz w:val="24"/>
        </w:rPr>
        <w:t>it could be best described as a geographic basin</w:t>
      </w:r>
      <w:r w:rsidR="00E301FD">
        <w:rPr>
          <w:rFonts w:ascii="Times New Roman" w:hAnsi="Times New Roman" w:cs="Times New Roman"/>
          <w:sz w:val="24"/>
        </w:rPr>
        <w:t xml:space="preserve"> of the Niger River</w:t>
      </w:r>
      <w:r w:rsidR="00911CAF">
        <w:rPr>
          <w:rFonts w:ascii="Times New Roman" w:hAnsi="Times New Roman" w:cs="Times New Roman"/>
          <w:sz w:val="24"/>
        </w:rPr>
        <w:t xml:space="preserve"> characterized by a fan-shaped flood plain that is defined by many tributaries and a host of attendant </w:t>
      </w:r>
      <w:r w:rsidR="00911CAF" w:rsidRPr="00205597">
        <w:rPr>
          <w:rFonts w:ascii="Times New Roman" w:hAnsi="Times New Roman" w:cs="Times New Roman"/>
          <w:sz w:val="24"/>
          <w:highlight w:val="yellow"/>
        </w:rPr>
        <w:t>distributories</w:t>
      </w:r>
      <w:r w:rsidR="001F2D95">
        <w:rPr>
          <w:rFonts w:ascii="Times New Roman" w:hAnsi="Times New Roman" w:cs="Times New Roman"/>
          <w:sz w:val="24"/>
        </w:rPr>
        <w:t xml:space="preserve"> forming the rivers and creeks</w:t>
      </w:r>
      <w:r w:rsidR="00911CAF">
        <w:rPr>
          <w:rFonts w:ascii="Times New Roman" w:hAnsi="Times New Roman" w:cs="Times New Roman"/>
          <w:sz w:val="24"/>
        </w:rPr>
        <w:t xml:space="preserve"> and estuaries through which</w:t>
      </w:r>
      <w:r w:rsidR="00E301FD">
        <w:rPr>
          <w:rFonts w:ascii="Times New Roman" w:hAnsi="Times New Roman" w:cs="Times New Roman"/>
          <w:sz w:val="24"/>
        </w:rPr>
        <w:t xml:space="preserve"> it opens into the Atlantic O</w:t>
      </w:r>
      <w:r w:rsidR="00911CAF">
        <w:rPr>
          <w:rFonts w:ascii="Times New Roman" w:hAnsi="Times New Roman" w:cs="Times New Roman"/>
          <w:sz w:val="24"/>
        </w:rPr>
        <w:t>cean</w:t>
      </w:r>
      <w:r w:rsidR="009664AB">
        <w:rPr>
          <w:rFonts w:ascii="Times New Roman" w:hAnsi="Times New Roman" w:cs="Times New Roman"/>
          <w:sz w:val="24"/>
        </w:rPr>
        <w:t xml:space="preserve"> at the South most end</w:t>
      </w:r>
      <w:r w:rsidR="00E301FD">
        <w:rPr>
          <w:rFonts w:ascii="Times New Roman" w:hAnsi="Times New Roman" w:cs="Times New Roman"/>
          <w:sz w:val="24"/>
        </w:rPr>
        <w:t xml:space="preserve"> of Nigeria</w:t>
      </w:r>
      <w:r w:rsidR="009C5CF3">
        <w:rPr>
          <w:rFonts w:ascii="Times New Roman" w:hAnsi="Times New Roman" w:cs="Times New Roman"/>
          <w:sz w:val="24"/>
        </w:rPr>
        <w:t>,</w:t>
      </w:r>
      <w:r w:rsidR="001F2D95">
        <w:rPr>
          <w:rFonts w:ascii="Times New Roman" w:hAnsi="Times New Roman" w:cs="Times New Roman"/>
          <w:sz w:val="24"/>
        </w:rPr>
        <w:t xml:space="preserve"> with the Nun River regarded as the direct continuation of the River Niger</w:t>
      </w:r>
      <w:r w:rsidR="00911CAF">
        <w:rPr>
          <w:rFonts w:ascii="Times New Roman" w:hAnsi="Times New Roman" w:cs="Times New Roman"/>
          <w:sz w:val="24"/>
        </w:rPr>
        <w:t xml:space="preserve"> [11]</w:t>
      </w:r>
      <w:r w:rsidR="00E301FD">
        <w:rPr>
          <w:rFonts w:ascii="Times New Roman" w:hAnsi="Times New Roman" w:cs="Times New Roman"/>
          <w:sz w:val="24"/>
        </w:rPr>
        <w:t>.</w:t>
      </w:r>
      <w:r w:rsidR="00911CAF">
        <w:rPr>
          <w:rFonts w:ascii="Times New Roman" w:hAnsi="Times New Roman" w:cs="Times New Roman"/>
          <w:sz w:val="24"/>
        </w:rPr>
        <w:t xml:space="preserve"> </w:t>
      </w:r>
      <w:r w:rsidR="0006798A">
        <w:rPr>
          <w:rFonts w:ascii="Times New Roman" w:hAnsi="Times New Roman" w:cs="Times New Roman"/>
          <w:sz w:val="24"/>
        </w:rPr>
        <w:t xml:space="preserve"> By this description, it is majorly made up of the whole of Rivers, Bayelsa, and Delta states but peripherally inclusive of few areas bordering </w:t>
      </w:r>
      <w:r w:rsidR="001F2D95">
        <w:rPr>
          <w:rFonts w:ascii="Times New Roman" w:hAnsi="Times New Roman" w:cs="Times New Roman"/>
          <w:sz w:val="24"/>
        </w:rPr>
        <w:t>the fan-shaped flood plain, stretching for nearly 150 miles (</w:t>
      </w:r>
      <w:r w:rsidR="001F2D95" w:rsidRPr="00205597">
        <w:rPr>
          <w:rFonts w:ascii="Times New Roman" w:hAnsi="Times New Roman" w:cs="Times New Roman"/>
          <w:sz w:val="24"/>
          <w:highlight w:val="yellow"/>
        </w:rPr>
        <w:t>240km</w:t>
      </w:r>
      <w:r w:rsidR="001F2D95">
        <w:rPr>
          <w:rFonts w:ascii="Times New Roman" w:hAnsi="Times New Roman" w:cs="Times New Roman"/>
          <w:sz w:val="24"/>
        </w:rPr>
        <w:t>) from North to South and extending over an area of 14,000 square miles (36,000 sq. km) [12]</w:t>
      </w:r>
      <w:r w:rsidR="0059541C">
        <w:rPr>
          <w:rFonts w:ascii="Times New Roman" w:hAnsi="Times New Roman" w:cs="Times New Roman"/>
          <w:sz w:val="24"/>
        </w:rPr>
        <w:t xml:space="preserve">. </w:t>
      </w:r>
      <w:r w:rsidR="005B54D1">
        <w:rPr>
          <w:rFonts w:ascii="Times New Roman" w:hAnsi="Times New Roman" w:cs="Times New Roman"/>
          <w:sz w:val="24"/>
        </w:rPr>
        <w:t xml:space="preserve">However, the area is </w:t>
      </w:r>
      <w:r w:rsidR="009C5CF3">
        <w:rPr>
          <w:rFonts w:ascii="Times New Roman" w:hAnsi="Times New Roman" w:cs="Times New Roman"/>
          <w:sz w:val="24"/>
        </w:rPr>
        <w:t>noted to be a biodiversity hotspot that is rich in flo</w:t>
      </w:r>
      <w:r w:rsidR="001A63DB">
        <w:rPr>
          <w:rFonts w:ascii="Times New Roman" w:hAnsi="Times New Roman" w:cs="Times New Roman"/>
          <w:sz w:val="24"/>
        </w:rPr>
        <w:t>ra and fauna in addition to</w:t>
      </w:r>
      <w:r w:rsidR="009C5CF3">
        <w:rPr>
          <w:rFonts w:ascii="Times New Roman" w:hAnsi="Times New Roman" w:cs="Times New Roman"/>
          <w:sz w:val="24"/>
        </w:rPr>
        <w:t xml:space="preserve"> robust</w:t>
      </w:r>
      <w:r w:rsidR="001A63DB">
        <w:rPr>
          <w:rFonts w:ascii="Times New Roman" w:hAnsi="Times New Roman" w:cs="Times New Roman"/>
          <w:sz w:val="24"/>
        </w:rPr>
        <w:t xml:space="preserve"> ecological processes upon which the economy of the local communities is dependent [11], thus characterizing the mangrove swamp and coastal vegetation of the region to be very high in biodiversity as well as dense human population.</w:t>
      </w:r>
    </w:p>
    <w:p w14:paraId="72545E30" w14:textId="77777777" w:rsidR="00770926" w:rsidRDefault="001A63DB"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The region is therefore noted to have had a mangrove reserve that is assessed to be</w:t>
      </w:r>
      <w:r w:rsidR="003043BD">
        <w:rPr>
          <w:rFonts w:ascii="Times New Roman" w:hAnsi="Times New Roman" w:cs="Times New Roman"/>
          <w:sz w:val="24"/>
        </w:rPr>
        <w:t xml:space="preserve"> the largest in Africa and</w:t>
      </w:r>
      <w:r>
        <w:rPr>
          <w:rFonts w:ascii="Times New Roman" w:hAnsi="Times New Roman" w:cs="Times New Roman"/>
          <w:sz w:val="24"/>
        </w:rPr>
        <w:t xml:space="preserve"> third largest in the world, wherein </w:t>
      </w:r>
      <w:r w:rsidR="003D42D8">
        <w:rPr>
          <w:rFonts w:ascii="Times New Roman" w:hAnsi="Times New Roman" w:cs="Times New Roman"/>
          <w:sz w:val="24"/>
        </w:rPr>
        <w:t>about eight true mang</w:t>
      </w:r>
      <w:r w:rsidR="003043BD">
        <w:rPr>
          <w:rFonts w:ascii="Times New Roman" w:hAnsi="Times New Roman" w:cs="Times New Roman"/>
          <w:sz w:val="24"/>
        </w:rPr>
        <w:t>rove species are available with a host of other</w:t>
      </w:r>
      <w:r w:rsidR="00880610">
        <w:rPr>
          <w:rFonts w:ascii="Times New Roman" w:hAnsi="Times New Roman" w:cs="Times New Roman"/>
          <w:sz w:val="24"/>
        </w:rPr>
        <w:t xml:space="preserve"> </w:t>
      </w:r>
      <w:r w:rsidR="00C8734D">
        <w:rPr>
          <w:rFonts w:ascii="Times New Roman" w:hAnsi="Times New Roman" w:cs="Times New Roman"/>
          <w:sz w:val="24"/>
        </w:rPr>
        <w:t>minor</w:t>
      </w:r>
      <w:r w:rsidR="00880610">
        <w:rPr>
          <w:rFonts w:ascii="Times New Roman" w:hAnsi="Times New Roman" w:cs="Times New Roman"/>
          <w:sz w:val="24"/>
        </w:rPr>
        <w:t xml:space="preserve"> components. This description covers the entire mangrove belt of Nigeria whilst the study’s scope is the geographic Niger Delta covering Rivers, Bayelsa, and Delta States</w:t>
      </w:r>
      <w:r w:rsidR="007E2364">
        <w:rPr>
          <w:rFonts w:ascii="Times New Roman" w:hAnsi="Times New Roman" w:cs="Times New Roman"/>
          <w:sz w:val="24"/>
        </w:rPr>
        <w:t xml:space="preserve"> covering a cumulative land area of 38</w:t>
      </w:r>
      <w:r w:rsidR="000710E1">
        <w:rPr>
          <w:rFonts w:ascii="Times New Roman" w:hAnsi="Times New Roman" w:cs="Times New Roman"/>
          <w:sz w:val="24"/>
        </w:rPr>
        <w:t xml:space="preserve">,684 square kilometers (Rivers – 10,378, Bayelsa - 11,107, and Delta – </w:t>
      </w:r>
      <w:r w:rsidR="000710E1" w:rsidRPr="00205597">
        <w:rPr>
          <w:rFonts w:ascii="Times New Roman" w:hAnsi="Times New Roman" w:cs="Times New Roman"/>
          <w:sz w:val="24"/>
          <w:highlight w:val="yellow"/>
        </w:rPr>
        <w:t>17, 163</w:t>
      </w:r>
      <w:r w:rsidR="000710E1">
        <w:rPr>
          <w:rFonts w:ascii="Times New Roman" w:hAnsi="Times New Roman" w:cs="Times New Roman"/>
          <w:sz w:val="24"/>
        </w:rPr>
        <w:t>)</w:t>
      </w:r>
      <w:r w:rsidR="007E2364">
        <w:rPr>
          <w:rFonts w:ascii="Times New Roman" w:hAnsi="Times New Roman" w:cs="Times New Roman"/>
          <w:sz w:val="24"/>
        </w:rPr>
        <w:t xml:space="preserve">. It </w:t>
      </w:r>
      <w:r w:rsidR="00161942">
        <w:rPr>
          <w:rFonts w:ascii="Times New Roman" w:hAnsi="Times New Roman" w:cs="Times New Roman"/>
          <w:sz w:val="24"/>
        </w:rPr>
        <w:t xml:space="preserve">is to be noted however that these three states are biodiversity hotspot where exists both locally and globally endangered species of organisms in four major ecological zones namely: the coastal barrier islands, mangrove swamp forests, fresh water swamp, and lowland rain </w:t>
      </w:r>
      <w:r w:rsidR="00161942" w:rsidRPr="00205597">
        <w:rPr>
          <w:rFonts w:ascii="Times New Roman" w:hAnsi="Times New Roman" w:cs="Times New Roman"/>
          <w:sz w:val="24"/>
          <w:highlight w:val="yellow"/>
        </w:rPr>
        <w:t>forests</w:t>
      </w:r>
      <w:r w:rsidR="0012783F" w:rsidRPr="00205597">
        <w:rPr>
          <w:rFonts w:ascii="Times New Roman" w:hAnsi="Times New Roman" w:cs="Times New Roman"/>
          <w:sz w:val="24"/>
          <w:highlight w:val="yellow"/>
        </w:rPr>
        <w:t>[13]</w:t>
      </w:r>
      <w:r w:rsidR="00161942" w:rsidRPr="00205597">
        <w:rPr>
          <w:rFonts w:ascii="Times New Roman" w:hAnsi="Times New Roman" w:cs="Times New Roman"/>
          <w:sz w:val="24"/>
          <w:highlight w:val="yellow"/>
        </w:rPr>
        <w:t>.</w:t>
      </w:r>
      <w:r w:rsidR="00161942">
        <w:rPr>
          <w:rFonts w:ascii="Times New Roman" w:hAnsi="Times New Roman" w:cs="Times New Roman"/>
          <w:sz w:val="24"/>
        </w:rPr>
        <w:t xml:space="preserve"> Of relevance to this paper is the mangrove swamp which interlocks with the coastal </w:t>
      </w:r>
      <w:r w:rsidR="00770926">
        <w:rPr>
          <w:rFonts w:ascii="Times New Roman" w:hAnsi="Times New Roman" w:cs="Times New Roman"/>
          <w:sz w:val="24"/>
        </w:rPr>
        <w:t>barrier islands, forming the rivers, creeks, and estuaries. This is as shown in the map in Fig.1</w:t>
      </w:r>
      <w:r w:rsidR="00FF423B">
        <w:rPr>
          <w:rFonts w:ascii="Times New Roman" w:hAnsi="Times New Roman" w:cs="Times New Roman"/>
          <w:sz w:val="24"/>
        </w:rPr>
        <w:t xml:space="preserve"> and 2</w:t>
      </w:r>
      <w:r w:rsidR="00770926">
        <w:rPr>
          <w:rFonts w:ascii="Times New Roman" w:hAnsi="Times New Roman" w:cs="Times New Roman"/>
          <w:sz w:val="24"/>
        </w:rPr>
        <w:t>:</w:t>
      </w:r>
    </w:p>
    <w:p w14:paraId="29AE5E76" w14:textId="77777777" w:rsidR="004D0B52" w:rsidRDefault="004D0B52" w:rsidP="00165A11">
      <w:pPr>
        <w:pStyle w:val="ListParagraph"/>
        <w:spacing w:line="240" w:lineRule="auto"/>
        <w:ind w:left="0"/>
        <w:jc w:val="both"/>
        <w:rPr>
          <w:rFonts w:ascii="Times New Roman" w:hAnsi="Times New Roman" w:cs="Times New Roman"/>
          <w:sz w:val="24"/>
        </w:rPr>
      </w:pPr>
    </w:p>
    <w:p w14:paraId="216A94A2" w14:textId="77777777" w:rsidR="001A63DB" w:rsidRDefault="00D97830"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lastRenderedPageBreak/>
        <w:t xml:space="preserve">    </w:t>
      </w:r>
      <w:r w:rsidR="0012783F">
        <w:rPr>
          <w:rFonts w:ascii="Times New Roman" w:hAnsi="Times New Roman" w:cs="Times New Roman"/>
          <w:noProof/>
          <w:sz w:val="24"/>
          <w:lang w:val="en-IN" w:eastAsia="en-IN"/>
        </w:rPr>
        <w:drawing>
          <wp:inline distT="0" distB="0" distL="0" distR="0" wp14:anchorId="521693A7" wp14:editId="472B585E">
            <wp:extent cx="5410200" cy="3286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0" cy="3286125"/>
                    </a:xfrm>
                    <a:prstGeom prst="rect">
                      <a:avLst/>
                    </a:prstGeom>
                    <a:noFill/>
                    <a:ln>
                      <a:noFill/>
                    </a:ln>
                  </pic:spPr>
                </pic:pic>
              </a:graphicData>
            </a:graphic>
          </wp:inline>
        </w:drawing>
      </w:r>
      <w:r w:rsidR="003D42D8">
        <w:rPr>
          <w:rFonts w:ascii="Times New Roman" w:hAnsi="Times New Roman" w:cs="Times New Roman"/>
          <w:sz w:val="24"/>
        </w:rPr>
        <w:t xml:space="preserve"> </w:t>
      </w:r>
      <w:r w:rsidR="001A63DB">
        <w:rPr>
          <w:rFonts w:ascii="Times New Roman" w:hAnsi="Times New Roman" w:cs="Times New Roman"/>
          <w:sz w:val="24"/>
        </w:rPr>
        <w:t xml:space="preserve"> </w:t>
      </w:r>
    </w:p>
    <w:p w14:paraId="10D4D46F" w14:textId="77777777" w:rsidR="00770926" w:rsidRDefault="00770926" w:rsidP="00165A11">
      <w:pPr>
        <w:pStyle w:val="ListParagraph"/>
        <w:spacing w:line="240" w:lineRule="auto"/>
        <w:ind w:left="0"/>
        <w:jc w:val="both"/>
        <w:rPr>
          <w:rFonts w:ascii="Times New Roman" w:hAnsi="Times New Roman" w:cs="Times New Roman"/>
          <w:b/>
          <w:sz w:val="24"/>
        </w:rPr>
      </w:pPr>
      <w:r>
        <w:rPr>
          <w:rFonts w:ascii="Times New Roman" w:hAnsi="Times New Roman" w:cs="Times New Roman"/>
          <w:b/>
          <w:sz w:val="24"/>
        </w:rPr>
        <w:t xml:space="preserve">Fig. 1: Map of </w:t>
      </w:r>
      <w:r w:rsidR="0012783F">
        <w:rPr>
          <w:rFonts w:ascii="Times New Roman" w:hAnsi="Times New Roman" w:cs="Times New Roman"/>
          <w:b/>
          <w:sz w:val="24"/>
        </w:rPr>
        <w:t>the Niger Delta showing the three states of Rivers, Bayelsa, and Delta with the various rivers and tributaries opening into the Atlantic Ocean</w:t>
      </w:r>
    </w:p>
    <w:p w14:paraId="4FE66809" w14:textId="77777777" w:rsidR="0012783F" w:rsidRDefault="0012783F" w:rsidP="00165A11">
      <w:pPr>
        <w:pStyle w:val="ListParagraph"/>
        <w:spacing w:line="240" w:lineRule="auto"/>
        <w:ind w:left="0"/>
        <w:jc w:val="both"/>
        <w:rPr>
          <w:rFonts w:ascii="Times New Roman" w:hAnsi="Times New Roman" w:cs="Times New Roman"/>
          <w:b/>
          <w:sz w:val="24"/>
        </w:rPr>
      </w:pPr>
      <w:r>
        <w:rPr>
          <w:rFonts w:ascii="Times New Roman" w:hAnsi="Times New Roman" w:cs="Times New Roman"/>
          <w:b/>
          <w:sz w:val="24"/>
        </w:rPr>
        <w:t>Source: [</w:t>
      </w:r>
      <w:r w:rsidR="00AE2BB3">
        <w:rPr>
          <w:rFonts w:ascii="Times New Roman" w:hAnsi="Times New Roman" w:cs="Times New Roman"/>
          <w:b/>
          <w:sz w:val="24"/>
        </w:rPr>
        <w:t>13].</w:t>
      </w:r>
    </w:p>
    <w:p w14:paraId="55320692" w14:textId="77777777" w:rsidR="00FF423B" w:rsidRPr="00770926" w:rsidRDefault="00FF423B" w:rsidP="00165A11">
      <w:pPr>
        <w:pStyle w:val="ListParagraph"/>
        <w:spacing w:line="240" w:lineRule="auto"/>
        <w:ind w:left="0"/>
        <w:jc w:val="both"/>
        <w:rPr>
          <w:rFonts w:ascii="Times New Roman" w:hAnsi="Times New Roman" w:cs="Times New Roman"/>
          <w:b/>
          <w:sz w:val="24"/>
        </w:rPr>
      </w:pPr>
    </w:p>
    <w:p w14:paraId="7B32FF0E" w14:textId="77777777" w:rsidR="00BA4ABB" w:rsidRDefault="00D97830" w:rsidP="00165A11">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 xml:space="preserve">       </w:t>
      </w:r>
      <w:r w:rsidR="00FF423B" w:rsidRPr="0054304A">
        <w:rPr>
          <w:rFonts w:ascii="Times New Roman" w:hAnsi="Times New Roman" w:cs="Times New Roman"/>
          <w:noProof/>
          <w:sz w:val="24"/>
          <w:lang w:val="en-IN" w:eastAsia="en-IN"/>
        </w:rPr>
        <w:drawing>
          <wp:inline distT="0" distB="0" distL="0" distR="0" wp14:anchorId="64E9DACC" wp14:editId="7A7BBD57">
            <wp:extent cx="5562600" cy="3609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5564109" cy="3610954"/>
                    </a:xfrm>
                    <a:prstGeom prst="rect">
                      <a:avLst/>
                    </a:prstGeom>
                  </pic:spPr>
                </pic:pic>
              </a:graphicData>
            </a:graphic>
          </wp:inline>
        </w:drawing>
      </w:r>
      <w:r w:rsidR="009C5CF3">
        <w:rPr>
          <w:rFonts w:ascii="Times New Roman" w:hAnsi="Times New Roman" w:cs="Times New Roman"/>
          <w:sz w:val="24"/>
        </w:rPr>
        <w:t xml:space="preserve"> </w:t>
      </w:r>
    </w:p>
    <w:p w14:paraId="6E6FAB21" w14:textId="77777777" w:rsidR="00FF423B" w:rsidRDefault="00FF423B" w:rsidP="00084230">
      <w:pPr>
        <w:pStyle w:val="ListParagraph"/>
        <w:spacing w:after="0" w:line="240" w:lineRule="auto"/>
        <w:ind w:left="0"/>
        <w:jc w:val="both"/>
        <w:rPr>
          <w:rFonts w:ascii="Times New Roman" w:hAnsi="Times New Roman" w:cs="Times New Roman"/>
          <w:b/>
          <w:sz w:val="24"/>
        </w:rPr>
      </w:pPr>
      <w:r>
        <w:rPr>
          <w:rFonts w:ascii="Times New Roman" w:hAnsi="Times New Roman" w:cs="Times New Roman"/>
          <w:b/>
          <w:sz w:val="24"/>
        </w:rPr>
        <w:t>Fig. 2: Map of the Niger Delta showing the Mangrove Belt and the Various Rivers, including the River Nun which is a continuation of the Niger River.</w:t>
      </w:r>
      <w:r w:rsidR="00D97830">
        <w:rPr>
          <w:rFonts w:ascii="Times New Roman" w:hAnsi="Times New Roman" w:cs="Times New Roman"/>
          <w:b/>
          <w:sz w:val="24"/>
        </w:rPr>
        <w:t xml:space="preserve"> Source: ResearchGate (2024)</w:t>
      </w:r>
    </w:p>
    <w:p w14:paraId="4D04F252" w14:textId="77777777" w:rsidR="003D6DDD" w:rsidRDefault="003D6DDD" w:rsidP="003D6DDD">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The Mangrove Belt of Nigeria</w:t>
      </w:r>
    </w:p>
    <w:p w14:paraId="51D10BD4" w14:textId="77777777" w:rsidR="003D6DDD" w:rsidRDefault="003D6DDD" w:rsidP="003D6D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Mangroves in Nigeria generally extends from Badagry in the West to Calabar in the East, defined by a regular salt water inundation, and forming a vegetation band that is between 15 to 45 kilometers, </w:t>
      </w:r>
      <w:r>
        <w:rPr>
          <w:rFonts w:ascii="Times New Roman" w:hAnsi="Times New Roman" w:cs="Times New Roman"/>
          <w:sz w:val="24"/>
          <w:szCs w:val="24"/>
          <w:shd w:val="clear" w:color="auto" w:fill="FFFFFF"/>
        </w:rPr>
        <w:lastRenderedPageBreak/>
        <w:t>parallel to the coast of the Atlantic Ocean and occupying a total land area of 10,000 square kilometers al</w:t>
      </w:r>
      <w:r w:rsidR="00BE48FD">
        <w:rPr>
          <w:rFonts w:ascii="Times New Roman" w:hAnsi="Times New Roman" w:cs="Times New Roman"/>
          <w:sz w:val="24"/>
          <w:szCs w:val="24"/>
          <w:shd w:val="clear" w:color="auto" w:fill="FFFFFF"/>
        </w:rPr>
        <w:t>ong the coast [14]</w:t>
      </w:r>
      <w:r>
        <w:rPr>
          <w:rFonts w:ascii="Times New Roman" w:hAnsi="Times New Roman" w:cs="Times New Roman"/>
          <w:sz w:val="24"/>
          <w:szCs w:val="24"/>
          <w:shd w:val="clear" w:color="auto" w:fill="FFFFFF"/>
        </w:rPr>
        <w:t xml:space="preserve">. The Nigerian mangrove ecosystem is made up of fragmented deltaic discontinuous landform, occasioned by interruptions created by Beach Ridge Island forests which are characteristically of lowland rainforests within which </w:t>
      </w:r>
      <w:r w:rsidRPr="0023001D">
        <w:rPr>
          <w:rFonts w:ascii="Times New Roman" w:hAnsi="Times New Roman" w:cs="Times New Roman"/>
          <w:sz w:val="24"/>
          <w:szCs w:val="24"/>
          <w:shd w:val="clear" w:color="auto" w:fill="FFFFFF"/>
        </w:rPr>
        <w:t>communities ar</w:t>
      </w:r>
      <w:r w:rsidR="00BE48FD">
        <w:rPr>
          <w:rFonts w:ascii="Times New Roman" w:hAnsi="Times New Roman" w:cs="Times New Roman"/>
          <w:sz w:val="24"/>
          <w:szCs w:val="24"/>
          <w:shd w:val="clear" w:color="auto" w:fill="FFFFFF"/>
        </w:rPr>
        <w:t>e settled [15]</w:t>
      </w:r>
      <w:r w:rsidRPr="0023001D">
        <w:rPr>
          <w:rFonts w:ascii="Times New Roman" w:hAnsi="Times New Roman" w:cs="Times New Roman"/>
          <w:sz w:val="24"/>
          <w:szCs w:val="24"/>
          <w:shd w:val="clear" w:color="auto" w:fill="FFFFFF"/>
        </w:rPr>
        <w:t xml:space="preserve"> </w:t>
      </w:r>
      <w:r w:rsidRPr="0023001D">
        <w:rPr>
          <w:rFonts w:ascii="Times New Roman" w:hAnsi="Times New Roman" w:cs="Times New Roman"/>
          <w:sz w:val="24"/>
          <w:szCs w:val="24"/>
        </w:rPr>
        <w:t>The beach ridge forests typic</w:t>
      </w:r>
      <w:r>
        <w:rPr>
          <w:rFonts w:ascii="Times New Roman" w:hAnsi="Times New Roman" w:cs="Times New Roman"/>
          <w:sz w:val="24"/>
          <w:szCs w:val="24"/>
        </w:rPr>
        <w:t xml:space="preserve">ally contain lowland rainforest </w:t>
      </w:r>
      <w:r w:rsidRPr="0023001D">
        <w:rPr>
          <w:rFonts w:ascii="Times New Roman" w:hAnsi="Times New Roman" w:cs="Times New Roman"/>
          <w:sz w:val="24"/>
          <w:szCs w:val="24"/>
        </w:rPr>
        <w:t>species. Some have large areas of high quality forests with high concentrations of biodiversity</w:t>
      </w:r>
      <w:r w:rsidR="00FC02DE">
        <w:rPr>
          <w:rFonts w:ascii="Times New Roman" w:hAnsi="Times New Roman" w:cs="Times New Roman"/>
          <w:sz w:val="24"/>
          <w:szCs w:val="24"/>
        </w:rPr>
        <w:t>. This thus crates room for the survival both mangrove</w:t>
      </w:r>
      <w:r w:rsidR="00874612">
        <w:rPr>
          <w:rFonts w:ascii="Times New Roman" w:hAnsi="Times New Roman" w:cs="Times New Roman"/>
          <w:sz w:val="24"/>
          <w:szCs w:val="24"/>
        </w:rPr>
        <w:t>s</w:t>
      </w:r>
      <w:r w:rsidR="00FC02DE">
        <w:rPr>
          <w:rFonts w:ascii="Times New Roman" w:hAnsi="Times New Roman" w:cs="Times New Roman"/>
          <w:sz w:val="24"/>
          <w:szCs w:val="24"/>
        </w:rPr>
        <w:t xml:space="preserve"> based</w:t>
      </w:r>
      <w:r w:rsidR="00874612">
        <w:rPr>
          <w:rFonts w:ascii="Times New Roman" w:hAnsi="Times New Roman" w:cs="Times New Roman"/>
          <w:sz w:val="24"/>
          <w:szCs w:val="24"/>
        </w:rPr>
        <w:t>, and non-mangroves based</w:t>
      </w:r>
      <w:r w:rsidR="00FC02DE">
        <w:rPr>
          <w:rFonts w:ascii="Times New Roman" w:hAnsi="Times New Roman" w:cs="Times New Roman"/>
          <w:sz w:val="24"/>
          <w:szCs w:val="24"/>
        </w:rPr>
        <w:t xml:space="preserve"> fauna organisms within the mangrove belt, thereby creating significant human economic dependence on the area. </w:t>
      </w:r>
    </w:p>
    <w:p w14:paraId="5BBFAE43" w14:textId="77777777" w:rsidR="003D6DDD" w:rsidRDefault="003D6DDD" w:rsidP="008E1B14">
      <w:pPr>
        <w:pStyle w:val="ListParagraph"/>
        <w:spacing w:line="240" w:lineRule="auto"/>
        <w:ind w:left="0"/>
        <w:jc w:val="both"/>
        <w:rPr>
          <w:rFonts w:ascii="Times New Roman" w:hAnsi="Times New Roman" w:cs="Times New Roman"/>
          <w:b/>
          <w:sz w:val="24"/>
        </w:rPr>
      </w:pPr>
    </w:p>
    <w:p w14:paraId="638D2FE8" w14:textId="77777777" w:rsidR="00EF5627" w:rsidRDefault="00EF5627" w:rsidP="008E1B14">
      <w:pPr>
        <w:pStyle w:val="ListParagraph"/>
        <w:spacing w:line="240" w:lineRule="auto"/>
        <w:ind w:left="0"/>
        <w:jc w:val="both"/>
        <w:rPr>
          <w:rFonts w:ascii="Times New Roman" w:hAnsi="Times New Roman" w:cs="Times New Roman"/>
          <w:b/>
          <w:sz w:val="24"/>
        </w:rPr>
      </w:pPr>
      <w:r>
        <w:rPr>
          <w:rFonts w:ascii="Times New Roman" w:hAnsi="Times New Roman" w:cs="Times New Roman"/>
          <w:b/>
          <w:sz w:val="24"/>
        </w:rPr>
        <w:t>The Importance of Mangroves</w:t>
      </w:r>
    </w:p>
    <w:p w14:paraId="3A73C2E1" w14:textId="77777777" w:rsidR="00EF5627" w:rsidRPr="00EF5627" w:rsidRDefault="00EF5627" w:rsidP="00EF5627">
      <w:pPr>
        <w:pStyle w:val="ListParagraph"/>
        <w:spacing w:line="240" w:lineRule="auto"/>
        <w:ind w:left="0"/>
        <w:jc w:val="both"/>
        <w:rPr>
          <w:rFonts w:ascii="Times New Roman" w:hAnsi="Times New Roman" w:cs="Times New Roman"/>
          <w:b/>
          <w:sz w:val="14"/>
        </w:rPr>
      </w:pPr>
    </w:p>
    <w:p w14:paraId="0608054A" w14:textId="77777777" w:rsidR="00EF5627" w:rsidRDefault="00EF5627"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A report by the United Nations Environmental Program (UNEP) of 2023 described human attitude over mangroves as being ruled by ignorance as they perceive mangroves to be “dirty” or “death areas”</w:t>
      </w:r>
      <w:r w:rsidR="00422B5D">
        <w:rPr>
          <w:rFonts w:ascii="Times New Roman" w:hAnsi="Times New Roman" w:cs="Times New Roman"/>
          <w:sz w:val="24"/>
        </w:rPr>
        <w:t xml:space="preserve"> </w:t>
      </w:r>
      <w:r>
        <w:rPr>
          <w:rFonts w:ascii="Times New Roman" w:hAnsi="Times New Roman" w:cs="Times New Roman"/>
          <w:sz w:val="24"/>
        </w:rPr>
        <w:t>and have</w:t>
      </w:r>
      <w:r w:rsidR="00E3717A">
        <w:rPr>
          <w:rFonts w:ascii="Times New Roman" w:hAnsi="Times New Roman" w:cs="Times New Roman"/>
          <w:sz w:val="24"/>
        </w:rPr>
        <w:t xml:space="preserve"> </w:t>
      </w:r>
      <w:r>
        <w:rPr>
          <w:rFonts w:ascii="Times New Roman" w:hAnsi="Times New Roman" w:cs="Times New Roman"/>
          <w:sz w:val="24"/>
        </w:rPr>
        <w:t>consequen</w:t>
      </w:r>
      <w:r w:rsidR="00E3717A">
        <w:rPr>
          <w:rFonts w:ascii="Times New Roman" w:hAnsi="Times New Roman" w:cs="Times New Roman"/>
          <w:sz w:val="24"/>
        </w:rPr>
        <w:t>tly resorted to clearing them for sandy beaches, swanky resorts and other developments</w:t>
      </w:r>
      <w:r w:rsidR="0020233D">
        <w:rPr>
          <w:rFonts w:ascii="Times New Roman" w:hAnsi="Times New Roman" w:cs="Times New Roman"/>
          <w:sz w:val="24"/>
        </w:rPr>
        <w:t>. The UNEP’</w:t>
      </w:r>
      <w:r w:rsidR="003C7AFE">
        <w:rPr>
          <w:rFonts w:ascii="Times New Roman" w:hAnsi="Times New Roman" w:cs="Times New Roman"/>
          <w:sz w:val="24"/>
        </w:rPr>
        <w:t>s paper quoted from Leticia Carlvalho, Head of Marine and Fresh Water</w:t>
      </w:r>
      <w:r w:rsidR="0020233D">
        <w:rPr>
          <w:rFonts w:ascii="Times New Roman" w:hAnsi="Times New Roman" w:cs="Times New Roman"/>
          <w:sz w:val="24"/>
        </w:rPr>
        <w:t xml:space="preserve"> that mangrove on the contrary teems with life as more than 1500 plants and animal species depends on mangroves and they include fish and birds who uses the shallow water beneath the trees as nurseries and larger mammals such as monkeys, sloths, tigers, hyenas, and African wild dogs</w:t>
      </w:r>
      <w:r w:rsidR="003C7AFE">
        <w:rPr>
          <w:rFonts w:ascii="Times New Roman" w:hAnsi="Times New Roman" w:cs="Times New Roman"/>
          <w:sz w:val="24"/>
        </w:rPr>
        <w:t xml:space="preserve"> thus creating a diverse and remarkable ecosystem that works together with other marine ecosystem, not just for the ecological benefits alone but significantly for the wellbeing of humans.</w:t>
      </w:r>
      <w:r w:rsidR="00A910F4">
        <w:rPr>
          <w:rFonts w:ascii="Times New Roman" w:hAnsi="Times New Roman" w:cs="Times New Roman"/>
          <w:sz w:val="24"/>
        </w:rPr>
        <w:t xml:space="preserve"> Mangroves thus stabilize the coastlines, protect water quality, reduce coastline flooding, provide habitat for fish, protect wildlife species, protect juvenile fish from predators, and serve as nesting areas, all culminating into economic </w:t>
      </w:r>
      <w:r w:rsidR="00BE48FD">
        <w:rPr>
          <w:rFonts w:ascii="Times New Roman" w:hAnsi="Times New Roman" w:cs="Times New Roman"/>
          <w:sz w:val="24"/>
        </w:rPr>
        <w:t>benefits for human wellbeing [16</w:t>
      </w:r>
      <w:r w:rsidR="00A910F4">
        <w:rPr>
          <w:rFonts w:ascii="Times New Roman" w:hAnsi="Times New Roman" w:cs="Times New Roman"/>
          <w:sz w:val="24"/>
        </w:rPr>
        <w:t>].</w:t>
      </w:r>
    </w:p>
    <w:p w14:paraId="7CBF894C" w14:textId="77EDD70F" w:rsidR="002E3289" w:rsidRDefault="002E3289"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The Niger Delta regional mangrove ecosystem provides a variety of services for human well-being in addition to severa</w:t>
      </w:r>
      <w:r w:rsidR="00BE48FD">
        <w:rPr>
          <w:rFonts w:ascii="Times New Roman" w:hAnsi="Times New Roman" w:cs="Times New Roman"/>
          <w:sz w:val="24"/>
        </w:rPr>
        <w:t>l important ecological roles [17</w:t>
      </w:r>
      <w:r>
        <w:rPr>
          <w:rFonts w:ascii="Times New Roman" w:hAnsi="Times New Roman" w:cs="Times New Roman"/>
          <w:sz w:val="24"/>
        </w:rPr>
        <w:t>]</w:t>
      </w:r>
      <w:r w:rsidR="00392E6F">
        <w:rPr>
          <w:rFonts w:ascii="Times New Roman" w:hAnsi="Times New Roman" w:cs="Times New Roman"/>
          <w:sz w:val="24"/>
        </w:rPr>
        <w:t>. Functionally, mangroves contribution to rural (coastal) communities is likened to be what tax</w:t>
      </w:r>
      <w:r w:rsidR="00BE48FD">
        <w:rPr>
          <w:rFonts w:ascii="Times New Roman" w:hAnsi="Times New Roman" w:cs="Times New Roman"/>
          <w:sz w:val="24"/>
        </w:rPr>
        <w:t>es are to national economies [18</w:t>
      </w:r>
      <w:r w:rsidR="00392E6F">
        <w:rPr>
          <w:rFonts w:ascii="Times New Roman" w:hAnsi="Times New Roman" w:cs="Times New Roman"/>
          <w:sz w:val="24"/>
        </w:rPr>
        <w:t xml:space="preserve">] such that in a well- organized utility of mangrove resources, there is an estimated economic value of mangrove resources to local community in the range of 27,264 </w:t>
      </w:r>
      <w:r w:rsidR="00392E6F" w:rsidRPr="00205597">
        <w:rPr>
          <w:rFonts w:ascii="Times New Roman" w:hAnsi="Times New Roman" w:cs="Times New Roman"/>
          <w:sz w:val="24"/>
          <w:highlight w:val="yellow"/>
        </w:rPr>
        <w:t>to35</w:t>
      </w:r>
      <w:r w:rsidR="00BE48FD" w:rsidRPr="00205597">
        <w:rPr>
          <w:rFonts w:ascii="Times New Roman" w:hAnsi="Times New Roman" w:cs="Times New Roman"/>
          <w:sz w:val="24"/>
          <w:highlight w:val="yellow"/>
        </w:rPr>
        <w:t>, 921</w:t>
      </w:r>
      <w:r w:rsidR="00BE48FD">
        <w:rPr>
          <w:rFonts w:ascii="Times New Roman" w:hAnsi="Times New Roman" w:cs="Times New Roman"/>
          <w:sz w:val="24"/>
        </w:rPr>
        <w:t xml:space="preserve"> US Dollars per hectare [19</w:t>
      </w:r>
      <w:r w:rsidR="00392E6F">
        <w:rPr>
          <w:rFonts w:ascii="Times New Roman" w:hAnsi="Times New Roman" w:cs="Times New Roman"/>
          <w:sz w:val="24"/>
        </w:rPr>
        <w:t>]</w:t>
      </w:r>
      <w:r w:rsidR="00924C7F">
        <w:rPr>
          <w:rFonts w:ascii="Times New Roman" w:hAnsi="Times New Roman" w:cs="Times New Roman"/>
          <w:sz w:val="24"/>
        </w:rPr>
        <w:t>. Mangroves thus provides local communities with several goods including fish, shrimps, crabs, firewood, electric poles, honey, boat building material, furniture</w:t>
      </w:r>
      <w:r w:rsidR="00726B7F">
        <w:rPr>
          <w:rFonts w:ascii="Times New Roman" w:hAnsi="Times New Roman" w:cs="Times New Roman"/>
          <w:sz w:val="24"/>
        </w:rPr>
        <w:t>, traditional m</w:t>
      </w:r>
      <w:r w:rsidR="00BE48FD">
        <w:rPr>
          <w:rFonts w:ascii="Times New Roman" w:hAnsi="Times New Roman" w:cs="Times New Roman"/>
          <w:sz w:val="24"/>
        </w:rPr>
        <w:t>edicine, and hunting amenity [18</w:t>
      </w:r>
      <w:r w:rsidR="00726B7F">
        <w:rPr>
          <w:rFonts w:ascii="Times New Roman" w:hAnsi="Times New Roman" w:cs="Times New Roman"/>
          <w:sz w:val="24"/>
        </w:rPr>
        <w:t>]. Ecologically, mangroves offer nine major services grouped under three broad functions of regulatory, rep</w:t>
      </w:r>
      <w:r w:rsidR="00F06644">
        <w:rPr>
          <w:rFonts w:ascii="Times New Roman" w:hAnsi="Times New Roman" w:cs="Times New Roman"/>
          <w:sz w:val="24"/>
        </w:rPr>
        <w:t>roductive and cultural</w:t>
      </w:r>
      <w:r w:rsidR="00BE48FD">
        <w:rPr>
          <w:rFonts w:ascii="Times New Roman" w:hAnsi="Times New Roman" w:cs="Times New Roman"/>
          <w:sz w:val="24"/>
        </w:rPr>
        <w:t xml:space="preserve"> [20</w:t>
      </w:r>
      <w:r w:rsidR="00726B7F">
        <w:rPr>
          <w:rFonts w:ascii="Times New Roman" w:hAnsi="Times New Roman" w:cs="Times New Roman"/>
          <w:sz w:val="24"/>
        </w:rPr>
        <w:t>]</w:t>
      </w:r>
      <w:r w:rsidR="00205597" w:rsidRPr="00205597">
        <w:rPr>
          <w:rFonts w:ascii="Times New Roman" w:hAnsi="Times New Roman" w:cs="Times New Roman"/>
          <w:sz w:val="24"/>
          <w:highlight w:val="yellow"/>
        </w:rPr>
        <w:t>.</w:t>
      </w:r>
    </w:p>
    <w:p w14:paraId="5B032943" w14:textId="77777777" w:rsidR="001022D7" w:rsidRDefault="001022D7" w:rsidP="008E1B14">
      <w:pPr>
        <w:pStyle w:val="ListParagraph"/>
        <w:spacing w:line="240" w:lineRule="auto"/>
        <w:ind w:left="0"/>
        <w:jc w:val="both"/>
        <w:rPr>
          <w:rFonts w:ascii="Times New Roman" w:hAnsi="Times New Roman" w:cs="Times New Roman"/>
          <w:sz w:val="24"/>
        </w:rPr>
      </w:pPr>
    </w:p>
    <w:p w14:paraId="2352C489" w14:textId="77777777" w:rsidR="001022D7" w:rsidRDefault="00FC02DE" w:rsidP="008E1B14">
      <w:pPr>
        <w:pStyle w:val="ListParagraph"/>
        <w:spacing w:line="240" w:lineRule="auto"/>
        <w:ind w:left="0"/>
        <w:jc w:val="both"/>
        <w:rPr>
          <w:rFonts w:ascii="Times New Roman" w:hAnsi="Times New Roman" w:cs="Times New Roman"/>
          <w:b/>
          <w:sz w:val="24"/>
        </w:rPr>
      </w:pPr>
      <w:r w:rsidRPr="001022D7">
        <w:rPr>
          <w:rFonts w:ascii="Times New Roman" w:hAnsi="Times New Roman" w:cs="Times New Roman"/>
          <w:b/>
          <w:sz w:val="24"/>
        </w:rPr>
        <w:t>Concept</w:t>
      </w:r>
      <w:r w:rsidR="00483F35">
        <w:rPr>
          <w:rFonts w:ascii="Times New Roman" w:hAnsi="Times New Roman" w:cs="Times New Roman"/>
          <w:b/>
          <w:sz w:val="24"/>
        </w:rPr>
        <w:t xml:space="preserve"> of </w:t>
      </w:r>
      <w:r w:rsidR="001022D7" w:rsidRPr="001022D7">
        <w:rPr>
          <w:rFonts w:ascii="Times New Roman" w:hAnsi="Times New Roman" w:cs="Times New Roman"/>
          <w:b/>
          <w:sz w:val="24"/>
        </w:rPr>
        <w:t>Economic Value</w:t>
      </w:r>
      <w:r>
        <w:rPr>
          <w:rFonts w:ascii="Times New Roman" w:hAnsi="Times New Roman" w:cs="Times New Roman"/>
          <w:b/>
          <w:sz w:val="24"/>
        </w:rPr>
        <w:t xml:space="preserve"> and Economic Valuation</w:t>
      </w:r>
      <w:r w:rsidR="001022D7" w:rsidRPr="001022D7">
        <w:rPr>
          <w:rFonts w:ascii="Times New Roman" w:hAnsi="Times New Roman" w:cs="Times New Roman"/>
          <w:b/>
          <w:sz w:val="24"/>
        </w:rPr>
        <w:t xml:space="preserve"> </w:t>
      </w:r>
    </w:p>
    <w:p w14:paraId="394A8367" w14:textId="77777777" w:rsidR="008F22EF" w:rsidRDefault="008F22EF" w:rsidP="008E1B14">
      <w:pPr>
        <w:pStyle w:val="ListParagraph"/>
        <w:spacing w:line="240" w:lineRule="auto"/>
        <w:ind w:left="0"/>
        <w:jc w:val="both"/>
        <w:rPr>
          <w:rFonts w:ascii="Times New Roman" w:hAnsi="Times New Roman" w:cs="Times New Roman"/>
          <w:b/>
          <w:sz w:val="24"/>
        </w:rPr>
      </w:pPr>
    </w:p>
    <w:p w14:paraId="7A9FD2C4" w14:textId="77777777" w:rsidR="00351B0D" w:rsidRDefault="008F22EF" w:rsidP="008E1B14">
      <w:pPr>
        <w:pStyle w:val="ListParagraph"/>
        <w:spacing w:line="240" w:lineRule="auto"/>
        <w:ind w:left="0"/>
        <w:jc w:val="both"/>
        <w:rPr>
          <w:rFonts w:ascii="Times New Roman" w:hAnsi="Times New Roman" w:cs="Times New Roman"/>
          <w:sz w:val="24"/>
          <w:szCs w:val="20"/>
        </w:rPr>
      </w:pPr>
      <w:r>
        <w:rPr>
          <w:rFonts w:ascii="Times New Roman" w:hAnsi="Times New Roman" w:cs="Times New Roman"/>
          <w:sz w:val="24"/>
        </w:rPr>
        <w:t>‘Value’ as a concept is said to have differing meanings to those with different interests under any context. The environmentalist has therefore</w:t>
      </w:r>
      <w:r w:rsidR="00F02490">
        <w:rPr>
          <w:rFonts w:ascii="Times New Roman" w:hAnsi="Times New Roman" w:cs="Times New Roman"/>
          <w:sz w:val="24"/>
        </w:rPr>
        <w:t xml:space="preserve"> always made his assessment on the basis of desirability on moral, aesthetic and sustainability as certain types of environmental goods and services</w:t>
      </w:r>
      <w:r w:rsidR="00A23EB1">
        <w:rPr>
          <w:rFonts w:ascii="Times New Roman" w:hAnsi="Times New Roman" w:cs="Times New Roman"/>
          <w:sz w:val="24"/>
        </w:rPr>
        <w:t xml:space="preserve"> does not have market [21]</w:t>
      </w:r>
      <w:r w:rsidR="00F02490">
        <w:rPr>
          <w:rFonts w:ascii="Times New Roman" w:hAnsi="Times New Roman"/>
          <w:sz w:val="24"/>
        </w:rPr>
        <w:t xml:space="preserve">. </w:t>
      </w:r>
      <w:r w:rsidR="00EB42E3">
        <w:rPr>
          <w:rFonts w:ascii="Times New Roman" w:hAnsi="Times New Roman"/>
          <w:sz w:val="24"/>
        </w:rPr>
        <w:t>This fact makes environmental perspective about value to be very broad and have always been handled with principles of environmental economics. However, economic value describes the value placed on an economic good or service based on the benefit</w:t>
      </w:r>
      <w:r w:rsidR="00A23EB1">
        <w:rPr>
          <w:rFonts w:ascii="Times New Roman" w:hAnsi="Times New Roman"/>
          <w:sz w:val="24"/>
        </w:rPr>
        <w:t>s derivable from it [22</w:t>
      </w:r>
      <w:r w:rsidR="008C2D71" w:rsidRPr="00205597">
        <w:rPr>
          <w:rFonts w:ascii="Times New Roman" w:hAnsi="Times New Roman"/>
          <w:sz w:val="24"/>
          <w:highlight w:val="yellow"/>
        </w:rPr>
        <w:t>;</w:t>
      </w:r>
      <w:r w:rsidR="008C2D71">
        <w:rPr>
          <w:rFonts w:ascii="Times New Roman" w:hAnsi="Times New Roman"/>
          <w:sz w:val="24"/>
        </w:rPr>
        <w:t xml:space="preserve"> 17]</w:t>
      </w:r>
      <w:r w:rsidR="00EB42E3">
        <w:rPr>
          <w:rFonts w:ascii="Times New Roman" w:hAnsi="Times New Roman"/>
          <w:sz w:val="24"/>
        </w:rPr>
        <w:t>.</w:t>
      </w:r>
      <w:r w:rsidR="00F02490">
        <w:rPr>
          <w:rFonts w:ascii="Times New Roman" w:hAnsi="Times New Roman"/>
          <w:sz w:val="24"/>
        </w:rPr>
        <w:t xml:space="preserve"> </w:t>
      </w:r>
      <w:r w:rsidR="00F02490">
        <w:rPr>
          <w:rFonts w:ascii="Times New Roman" w:hAnsi="Times New Roman" w:cs="Times New Roman"/>
          <w:sz w:val="24"/>
        </w:rPr>
        <w:t xml:space="preserve"> </w:t>
      </w:r>
      <w:r w:rsidR="00EB42E3">
        <w:rPr>
          <w:rFonts w:ascii="Times New Roman" w:hAnsi="Times New Roman" w:cs="Times New Roman"/>
          <w:sz w:val="24"/>
          <w:szCs w:val="20"/>
        </w:rPr>
        <w:t>It is therefore a</w:t>
      </w:r>
      <w:r w:rsidR="00351B0D">
        <w:rPr>
          <w:rFonts w:ascii="Times New Roman" w:hAnsi="Times New Roman" w:cs="Times New Roman"/>
          <w:sz w:val="24"/>
          <w:szCs w:val="20"/>
        </w:rPr>
        <w:t xml:space="preserve"> part of the quantitative measures of environmental benefits of natural resources which are majorly amenities that cannot be bought and sold in everyday markets. Ignorance of the assessment of these non-market environmental benefits creates bias in decision making to the detrim</w:t>
      </w:r>
      <w:r w:rsidR="00EB42E3">
        <w:rPr>
          <w:rFonts w:ascii="Times New Roman" w:hAnsi="Times New Roman" w:cs="Times New Roman"/>
          <w:sz w:val="24"/>
          <w:szCs w:val="20"/>
        </w:rPr>
        <w:t>e</w:t>
      </w:r>
      <w:r w:rsidR="008C2D71">
        <w:rPr>
          <w:rFonts w:ascii="Times New Roman" w:hAnsi="Times New Roman" w:cs="Times New Roman"/>
          <w:sz w:val="24"/>
          <w:szCs w:val="20"/>
        </w:rPr>
        <w:t>nt of the physical environment [23].</w:t>
      </w:r>
    </w:p>
    <w:p w14:paraId="6065ACED" w14:textId="77777777" w:rsidR="00611B16" w:rsidRDefault="00E12040" w:rsidP="000F7A51">
      <w:pPr>
        <w:autoSpaceDE w:val="0"/>
        <w:autoSpaceDN w:val="0"/>
        <w:adjustRightInd w:val="0"/>
        <w:spacing w:after="0" w:line="240" w:lineRule="auto"/>
        <w:jc w:val="both"/>
        <w:rPr>
          <w:rFonts w:ascii="Times New Roman" w:hAnsi="Times New Roman"/>
          <w:sz w:val="24"/>
        </w:rPr>
      </w:pPr>
      <w:r>
        <w:rPr>
          <w:rFonts w:ascii="Times New Roman" w:hAnsi="Times New Roman" w:cs="Times New Roman"/>
          <w:sz w:val="24"/>
          <w:szCs w:val="20"/>
        </w:rPr>
        <w:t xml:space="preserve">Environmental valuation itself is the assessment and determination of </w:t>
      </w:r>
      <w:r w:rsidR="00F659A4">
        <w:rPr>
          <w:rFonts w:ascii="Times New Roman" w:hAnsi="Times New Roman" w:cs="Times New Roman"/>
          <w:sz w:val="24"/>
          <w:szCs w:val="20"/>
        </w:rPr>
        <w:t xml:space="preserve">the monetary </w:t>
      </w:r>
      <w:r>
        <w:rPr>
          <w:rFonts w:ascii="Times New Roman" w:hAnsi="Times New Roman" w:cs="Times New Roman"/>
          <w:sz w:val="24"/>
          <w:szCs w:val="20"/>
        </w:rPr>
        <w:t>value of envi</w:t>
      </w:r>
      <w:r w:rsidR="00F659A4">
        <w:rPr>
          <w:rFonts w:ascii="Times New Roman" w:hAnsi="Times New Roman" w:cs="Times New Roman"/>
          <w:sz w:val="24"/>
          <w:szCs w:val="20"/>
        </w:rPr>
        <w:t>ronmental impacts, some of which are non-market items</w:t>
      </w:r>
      <w:r>
        <w:rPr>
          <w:rFonts w:ascii="Times New Roman" w:hAnsi="Times New Roman" w:cs="Times New Roman"/>
          <w:sz w:val="24"/>
          <w:szCs w:val="20"/>
        </w:rPr>
        <w:t xml:space="preserve">. </w:t>
      </w:r>
      <w:r w:rsidR="00F659A4">
        <w:rPr>
          <w:rFonts w:ascii="Times New Roman" w:hAnsi="Times New Roman" w:cs="Times New Roman"/>
          <w:sz w:val="24"/>
          <w:szCs w:val="20"/>
        </w:rPr>
        <w:t>It</w:t>
      </w:r>
      <w:r w:rsidR="000F7A51">
        <w:rPr>
          <w:rFonts w:ascii="Times New Roman" w:hAnsi="Times New Roman" w:cs="Times New Roman"/>
          <w:sz w:val="24"/>
          <w:szCs w:val="20"/>
        </w:rPr>
        <w:t xml:space="preserve"> involves the appraisal of the preferences of a given body of persons over an item and the trade-offs that can be willingly be accepted for it. Because there are no markets for some types of environmental goods and services, </w:t>
      </w:r>
      <w:r w:rsidR="000F7A51">
        <w:rPr>
          <w:rFonts w:ascii="Times New Roman" w:hAnsi="Times New Roman" w:cs="Times New Roman"/>
          <w:sz w:val="24"/>
          <w:szCs w:val="20"/>
        </w:rPr>
        <w:lastRenderedPageBreak/>
        <w:t xml:space="preserve">environmental economists </w:t>
      </w:r>
      <w:r w:rsidR="000F7A51">
        <w:rPr>
          <w:rFonts w:ascii="Times New Roman" w:hAnsi="Times New Roman"/>
          <w:sz w:val="24"/>
        </w:rPr>
        <w:t>has found it necessary to disaggregate any environmental impact into individual components of value. One of such approaches is the Total Economic V</w:t>
      </w:r>
      <w:r w:rsidR="00A23EB1">
        <w:rPr>
          <w:rFonts w:ascii="Times New Roman" w:hAnsi="Times New Roman"/>
          <w:sz w:val="24"/>
        </w:rPr>
        <w:t>alue (TEV) approach [22</w:t>
      </w:r>
      <w:r w:rsidR="008C2D71" w:rsidRPr="00205597">
        <w:rPr>
          <w:rFonts w:ascii="Times New Roman" w:hAnsi="Times New Roman"/>
          <w:sz w:val="24"/>
          <w:highlight w:val="yellow"/>
        </w:rPr>
        <w:t>:</w:t>
      </w:r>
      <w:r w:rsidR="008C2D71">
        <w:rPr>
          <w:rFonts w:ascii="Times New Roman" w:hAnsi="Times New Roman"/>
          <w:sz w:val="24"/>
        </w:rPr>
        <w:t xml:space="preserve"> 17]</w:t>
      </w:r>
      <w:r w:rsidR="000F7A51">
        <w:rPr>
          <w:rFonts w:ascii="Times New Roman" w:hAnsi="Times New Roman"/>
          <w:sz w:val="24"/>
        </w:rPr>
        <w:t>, and so Economic Valuation involves the process of attaching monetary value or price to non-market environmental goods and service</w:t>
      </w:r>
      <w:r w:rsidR="008C2D71">
        <w:rPr>
          <w:rFonts w:ascii="Times New Roman" w:hAnsi="Times New Roman"/>
          <w:sz w:val="24"/>
        </w:rPr>
        <w:t>s [24]</w:t>
      </w:r>
      <w:r w:rsidR="000F7A51">
        <w:rPr>
          <w:rFonts w:ascii="Times New Roman" w:hAnsi="Times New Roman"/>
          <w:sz w:val="24"/>
        </w:rPr>
        <w:t>.  Total Economic Value (TEV)</w:t>
      </w:r>
      <w:r w:rsidR="00DE3475">
        <w:rPr>
          <w:rFonts w:ascii="Times New Roman" w:hAnsi="Times New Roman"/>
          <w:sz w:val="24"/>
        </w:rPr>
        <w:t xml:space="preserve"> is thus achieved by the addition of the Use Value (UV) and Non Use Value of the goods and services which are arrived at by translating ecological complexities into a limited number of functions that provides the goods and services for human wellbeing and livelihood. These ecosystem function</w:t>
      </w:r>
      <w:r w:rsidR="00611B16">
        <w:rPr>
          <w:rFonts w:ascii="Times New Roman" w:hAnsi="Times New Roman"/>
          <w:sz w:val="24"/>
        </w:rPr>
        <w:t>s are</w:t>
      </w:r>
      <w:r w:rsidR="00DE3475">
        <w:rPr>
          <w:rFonts w:ascii="Times New Roman" w:hAnsi="Times New Roman"/>
          <w:sz w:val="24"/>
        </w:rPr>
        <w:t xml:space="preserve"> the capacity of natural process and components to provide goods and services</w:t>
      </w:r>
      <w:r w:rsidR="00611B16">
        <w:rPr>
          <w:rFonts w:ascii="Times New Roman" w:hAnsi="Times New Roman"/>
          <w:sz w:val="24"/>
        </w:rPr>
        <w:t xml:space="preserve"> for the satisfaction of human needs directly or indirectly</w:t>
      </w:r>
      <w:r w:rsidR="00611B16" w:rsidRPr="00205597">
        <w:rPr>
          <w:rFonts w:ascii="Times New Roman" w:hAnsi="Times New Roman"/>
          <w:sz w:val="24"/>
          <w:highlight w:val="yellow"/>
        </w:rPr>
        <w:t>.</w:t>
      </w:r>
      <w:r w:rsidR="00611B16">
        <w:rPr>
          <w:rFonts w:ascii="Times New Roman" w:hAnsi="Times New Roman"/>
          <w:sz w:val="24"/>
        </w:rPr>
        <w:t xml:space="preserve"> </w:t>
      </w:r>
      <w:r w:rsidR="008C2D71">
        <w:rPr>
          <w:rFonts w:ascii="Times New Roman" w:hAnsi="Times New Roman"/>
          <w:sz w:val="24"/>
        </w:rPr>
        <w:t>[25]</w:t>
      </w:r>
      <w:r w:rsidR="00611B16">
        <w:rPr>
          <w:rFonts w:ascii="Times New Roman" w:hAnsi="Times New Roman"/>
          <w:sz w:val="24"/>
        </w:rPr>
        <w:t xml:space="preserve"> recognize four major types which include regulation function, habitat function, production function, and information function. They provide ecological, socio-cultural and economic values, from which Total Economic Value is derivable.</w:t>
      </w:r>
      <w:r w:rsidR="00874612">
        <w:rPr>
          <w:rFonts w:ascii="Times New Roman" w:hAnsi="Times New Roman"/>
          <w:sz w:val="24"/>
        </w:rPr>
        <w:t xml:space="preserve"> It is worthy to note that ignorance of the assessment of components of economic value creates bias in decision making to the detriment of the physical environment as well as human well-being.</w:t>
      </w:r>
    </w:p>
    <w:p w14:paraId="37A7E687" w14:textId="77777777" w:rsidR="00611B16" w:rsidRDefault="00611B16" w:rsidP="000F7A51">
      <w:pPr>
        <w:autoSpaceDE w:val="0"/>
        <w:autoSpaceDN w:val="0"/>
        <w:adjustRightInd w:val="0"/>
        <w:spacing w:after="0" w:line="240" w:lineRule="auto"/>
        <w:jc w:val="both"/>
        <w:rPr>
          <w:rFonts w:ascii="Times New Roman" w:hAnsi="Times New Roman"/>
          <w:sz w:val="24"/>
        </w:rPr>
      </w:pPr>
    </w:p>
    <w:p w14:paraId="3F438822" w14:textId="77777777" w:rsidR="00611B16" w:rsidRDefault="004D0B52" w:rsidP="000F7A51">
      <w:pPr>
        <w:autoSpaceDE w:val="0"/>
        <w:autoSpaceDN w:val="0"/>
        <w:adjustRightInd w:val="0"/>
        <w:spacing w:after="0" w:line="240" w:lineRule="auto"/>
        <w:jc w:val="both"/>
        <w:rPr>
          <w:rFonts w:ascii="Times New Roman" w:hAnsi="Times New Roman"/>
          <w:sz w:val="24"/>
        </w:rPr>
      </w:pPr>
      <w:r>
        <w:rPr>
          <w:rFonts w:ascii="Times New Roman" w:hAnsi="Times New Roman"/>
          <w:sz w:val="24"/>
        </w:rPr>
        <w:t>METHODDOLOGY</w:t>
      </w:r>
    </w:p>
    <w:p w14:paraId="1CCA57F2" w14:textId="77777777" w:rsidR="00735172" w:rsidRDefault="00735172" w:rsidP="000F7A51">
      <w:pPr>
        <w:autoSpaceDE w:val="0"/>
        <w:autoSpaceDN w:val="0"/>
        <w:adjustRightInd w:val="0"/>
        <w:spacing w:after="0" w:line="240" w:lineRule="auto"/>
        <w:jc w:val="both"/>
        <w:rPr>
          <w:rFonts w:ascii="Times New Roman" w:hAnsi="Times New Roman"/>
          <w:sz w:val="24"/>
        </w:rPr>
      </w:pPr>
    </w:p>
    <w:p w14:paraId="199C9F5B" w14:textId="77777777" w:rsidR="00735172" w:rsidRPr="00735172" w:rsidRDefault="00735172" w:rsidP="000F7A51">
      <w:pPr>
        <w:autoSpaceDE w:val="0"/>
        <w:autoSpaceDN w:val="0"/>
        <w:adjustRightInd w:val="0"/>
        <w:spacing w:after="0" w:line="240" w:lineRule="auto"/>
        <w:jc w:val="both"/>
        <w:rPr>
          <w:rFonts w:ascii="Times New Roman" w:hAnsi="Times New Roman"/>
          <w:b/>
          <w:sz w:val="24"/>
        </w:rPr>
      </w:pPr>
      <w:r>
        <w:rPr>
          <w:rFonts w:ascii="Times New Roman" w:hAnsi="Times New Roman"/>
          <w:b/>
          <w:sz w:val="24"/>
        </w:rPr>
        <w:t xml:space="preserve">Data Collection </w:t>
      </w:r>
    </w:p>
    <w:p w14:paraId="289A21A1" w14:textId="77777777" w:rsidR="00611B16" w:rsidRDefault="00611B16" w:rsidP="000F7A51">
      <w:pPr>
        <w:autoSpaceDE w:val="0"/>
        <w:autoSpaceDN w:val="0"/>
        <w:adjustRightInd w:val="0"/>
        <w:spacing w:after="0" w:line="240" w:lineRule="auto"/>
        <w:jc w:val="both"/>
        <w:rPr>
          <w:rFonts w:ascii="Times New Roman" w:hAnsi="Times New Roman"/>
          <w:sz w:val="24"/>
        </w:rPr>
      </w:pPr>
    </w:p>
    <w:p w14:paraId="3C08E07A" w14:textId="77777777" w:rsidR="00735172" w:rsidRDefault="00A14D3B" w:rsidP="000F7A51">
      <w:pPr>
        <w:autoSpaceDE w:val="0"/>
        <w:autoSpaceDN w:val="0"/>
        <w:adjustRightInd w:val="0"/>
        <w:spacing w:after="0" w:line="240" w:lineRule="auto"/>
        <w:jc w:val="both"/>
        <w:rPr>
          <w:rFonts w:ascii="Times New Roman" w:hAnsi="Times New Roman"/>
          <w:sz w:val="24"/>
        </w:rPr>
      </w:pPr>
      <w:r>
        <w:rPr>
          <w:rFonts w:ascii="Times New Roman" w:hAnsi="Times New Roman"/>
          <w:sz w:val="24"/>
        </w:rPr>
        <w:t>A reconnaissance visit was made to some</w:t>
      </w:r>
      <w:r w:rsidR="0062445A">
        <w:rPr>
          <w:rFonts w:ascii="Times New Roman" w:hAnsi="Times New Roman"/>
          <w:sz w:val="24"/>
        </w:rPr>
        <w:t xml:space="preserve"> of the rural settlements along</w:t>
      </w:r>
      <w:r w:rsidR="00D219FA">
        <w:rPr>
          <w:rFonts w:ascii="Times New Roman" w:hAnsi="Times New Roman"/>
          <w:sz w:val="24"/>
        </w:rPr>
        <w:t xml:space="preserve"> </w:t>
      </w:r>
      <w:r>
        <w:rPr>
          <w:rFonts w:ascii="Times New Roman" w:hAnsi="Times New Roman"/>
          <w:sz w:val="24"/>
        </w:rPr>
        <w:t>two locatio</w:t>
      </w:r>
      <w:r w:rsidR="0062445A">
        <w:rPr>
          <w:rFonts w:ascii="Times New Roman" w:hAnsi="Times New Roman"/>
          <w:sz w:val="24"/>
        </w:rPr>
        <w:t>ns -</w:t>
      </w:r>
      <w:r w:rsidR="00D219FA">
        <w:rPr>
          <w:rFonts w:ascii="Times New Roman" w:hAnsi="Times New Roman"/>
          <w:sz w:val="24"/>
        </w:rPr>
        <w:t xml:space="preserve"> Rivers Sta</w:t>
      </w:r>
      <w:r w:rsidR="0062445A">
        <w:rPr>
          <w:rFonts w:ascii="Times New Roman" w:hAnsi="Times New Roman"/>
          <w:sz w:val="24"/>
        </w:rPr>
        <w:t>t</w:t>
      </w:r>
      <w:r w:rsidR="00D219FA">
        <w:rPr>
          <w:rFonts w:ascii="Times New Roman" w:hAnsi="Times New Roman"/>
          <w:sz w:val="24"/>
        </w:rPr>
        <w:t>e and Bayelsa S</w:t>
      </w:r>
      <w:r>
        <w:rPr>
          <w:rFonts w:ascii="Times New Roman" w:hAnsi="Times New Roman"/>
          <w:sz w:val="24"/>
        </w:rPr>
        <w:t>tate</w:t>
      </w:r>
      <w:r w:rsidR="0062445A">
        <w:rPr>
          <w:rFonts w:ascii="Times New Roman" w:hAnsi="Times New Roman"/>
          <w:sz w:val="24"/>
        </w:rPr>
        <w:t>,</w:t>
      </w:r>
      <w:r>
        <w:rPr>
          <w:rFonts w:ascii="Times New Roman" w:hAnsi="Times New Roman"/>
          <w:sz w:val="24"/>
        </w:rPr>
        <w:t xml:space="preserve"> which are two of the three major states with extensive mangrove reserve</w:t>
      </w:r>
      <w:r w:rsidR="0062445A">
        <w:rPr>
          <w:rFonts w:ascii="Times New Roman" w:hAnsi="Times New Roman"/>
          <w:sz w:val="24"/>
        </w:rPr>
        <w:t xml:space="preserve"> in Nigeria</w:t>
      </w:r>
      <w:r>
        <w:rPr>
          <w:rFonts w:ascii="Times New Roman" w:hAnsi="Times New Roman"/>
          <w:sz w:val="24"/>
        </w:rPr>
        <w:t xml:space="preserve">. The Rivers State </w:t>
      </w:r>
      <w:r w:rsidR="00D219FA">
        <w:rPr>
          <w:rFonts w:ascii="Times New Roman" w:hAnsi="Times New Roman"/>
          <w:sz w:val="24"/>
        </w:rPr>
        <w:t xml:space="preserve">zonal area was the Ke River which runs in-between River Sombreiro and the New Calabar (Rio Real) River, flowing into the Atlantics while the Bayelsa State zonal Area is the famous St. Nicholas River, which also opens into the Atlantics. </w:t>
      </w:r>
      <w:r w:rsidR="00901CDE">
        <w:rPr>
          <w:rFonts w:ascii="Times New Roman" w:hAnsi="Times New Roman"/>
          <w:sz w:val="24"/>
        </w:rPr>
        <w:t>Selected communities were visited at a later trip with questionnaire designed from the observations during the reconnaissance tour, and were interviewer-administered. Photographs were also taken to capture the nature of the environment and a list of all available flora species compiled. However list of fauna species was a matter of a comprehensive qualitative analysis which also explained the relative economic value attached to each item in the ecosystem.</w:t>
      </w:r>
      <w:r w:rsidR="00084BF3">
        <w:rPr>
          <w:rFonts w:ascii="Times New Roman" w:hAnsi="Times New Roman"/>
          <w:sz w:val="24"/>
        </w:rPr>
        <w:t xml:space="preserve"> The Taro Yamane formula was applied to determine the sample size for questionnaire administration</w:t>
      </w:r>
      <w:r w:rsidR="0078369C">
        <w:rPr>
          <w:rFonts w:ascii="Times New Roman" w:hAnsi="Times New Roman"/>
          <w:sz w:val="24"/>
        </w:rPr>
        <w:t xml:space="preserve"> from census records for quantitative data while qual</w:t>
      </w:r>
      <w:r w:rsidR="00874612">
        <w:rPr>
          <w:rFonts w:ascii="Times New Roman" w:hAnsi="Times New Roman"/>
          <w:sz w:val="24"/>
        </w:rPr>
        <w:t xml:space="preserve">itative data was also collected simultaneously through the convergent parallel </w:t>
      </w:r>
      <w:r w:rsidR="00711CE8">
        <w:rPr>
          <w:rFonts w:ascii="Times New Roman" w:hAnsi="Times New Roman"/>
          <w:sz w:val="24"/>
        </w:rPr>
        <w:t>mixed</w:t>
      </w:r>
      <w:r w:rsidR="00874612">
        <w:rPr>
          <w:rFonts w:ascii="Times New Roman" w:hAnsi="Times New Roman"/>
          <w:sz w:val="24"/>
        </w:rPr>
        <w:t xml:space="preserve"> approach</w:t>
      </w:r>
      <w:r w:rsidR="00084BF3">
        <w:rPr>
          <w:rFonts w:ascii="Times New Roman" w:hAnsi="Times New Roman"/>
          <w:sz w:val="24"/>
        </w:rPr>
        <w:t>.</w:t>
      </w:r>
    </w:p>
    <w:p w14:paraId="3B986AA2" w14:textId="77777777" w:rsidR="00735172" w:rsidRDefault="00735172" w:rsidP="000F7A51">
      <w:pPr>
        <w:autoSpaceDE w:val="0"/>
        <w:autoSpaceDN w:val="0"/>
        <w:adjustRightInd w:val="0"/>
        <w:spacing w:after="0" w:line="240" w:lineRule="auto"/>
        <w:jc w:val="both"/>
        <w:rPr>
          <w:rFonts w:ascii="Times New Roman" w:hAnsi="Times New Roman"/>
          <w:sz w:val="24"/>
        </w:rPr>
      </w:pPr>
    </w:p>
    <w:p w14:paraId="613F992C" w14:textId="77777777" w:rsidR="00901CDE" w:rsidRDefault="00735172" w:rsidP="000F7A51">
      <w:pPr>
        <w:autoSpaceDE w:val="0"/>
        <w:autoSpaceDN w:val="0"/>
        <w:adjustRightInd w:val="0"/>
        <w:spacing w:after="0" w:line="240" w:lineRule="auto"/>
        <w:jc w:val="both"/>
        <w:rPr>
          <w:rFonts w:ascii="Times New Roman" w:hAnsi="Times New Roman"/>
          <w:sz w:val="24"/>
        </w:rPr>
      </w:pPr>
      <w:r>
        <w:rPr>
          <w:rFonts w:ascii="Times New Roman" w:hAnsi="Times New Roman"/>
          <w:b/>
          <w:sz w:val="24"/>
        </w:rPr>
        <w:t>Data Analysis</w:t>
      </w:r>
      <w:r w:rsidR="00084BF3">
        <w:rPr>
          <w:rFonts w:ascii="Times New Roman" w:hAnsi="Times New Roman"/>
          <w:sz w:val="24"/>
        </w:rPr>
        <w:t xml:space="preserve"> </w:t>
      </w:r>
    </w:p>
    <w:p w14:paraId="5FE42265" w14:textId="77777777" w:rsidR="00901CDE" w:rsidRDefault="00901CDE" w:rsidP="000F7A51">
      <w:pPr>
        <w:autoSpaceDE w:val="0"/>
        <w:autoSpaceDN w:val="0"/>
        <w:adjustRightInd w:val="0"/>
        <w:spacing w:after="0" w:line="240" w:lineRule="auto"/>
        <w:jc w:val="both"/>
        <w:rPr>
          <w:rFonts w:ascii="Times New Roman" w:hAnsi="Times New Roman"/>
          <w:sz w:val="24"/>
        </w:rPr>
      </w:pPr>
    </w:p>
    <w:p w14:paraId="4E086EBB" w14:textId="77777777" w:rsidR="000F7A51" w:rsidRDefault="00711CE8" w:rsidP="000F7A51">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Availability of macro plant and animal species endemic to the study area were investigated and identified in their species, family, and common names. There was therefore a computation of the </w:t>
      </w:r>
      <w:r w:rsidR="006C62C6">
        <w:rPr>
          <w:rFonts w:ascii="Times New Roman" w:hAnsi="Times New Roman"/>
          <w:sz w:val="24"/>
        </w:rPr>
        <w:t xml:space="preserve">economic value potentials of each of these items, and finally an inquiry into the occupational activities of the inhabitants of the area to measure decline in the livelihood of the inhabitants’ livelihood.  </w:t>
      </w:r>
      <w:r w:rsidR="00901CDE">
        <w:rPr>
          <w:rFonts w:ascii="Times New Roman" w:hAnsi="Times New Roman"/>
          <w:sz w:val="24"/>
        </w:rPr>
        <w:t xml:space="preserve"> </w:t>
      </w:r>
      <w:r w:rsidR="00611B16">
        <w:rPr>
          <w:rFonts w:ascii="Times New Roman" w:hAnsi="Times New Roman"/>
          <w:sz w:val="24"/>
        </w:rPr>
        <w:t xml:space="preserve"> </w:t>
      </w:r>
    </w:p>
    <w:p w14:paraId="348CE74F" w14:textId="77777777" w:rsidR="00EF5627" w:rsidRPr="00EF5627" w:rsidRDefault="000F7A51"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szCs w:val="20"/>
        </w:rPr>
        <w:t xml:space="preserve"> </w:t>
      </w:r>
    </w:p>
    <w:p w14:paraId="1C928057" w14:textId="77777777" w:rsidR="006C62C6" w:rsidRDefault="00B50A5C" w:rsidP="008E1B14">
      <w:pPr>
        <w:pStyle w:val="ListParagraph"/>
        <w:spacing w:line="240" w:lineRule="auto"/>
        <w:ind w:left="0"/>
        <w:jc w:val="both"/>
        <w:rPr>
          <w:rFonts w:ascii="Times New Roman" w:hAnsi="Times New Roman" w:cs="Times New Roman"/>
          <w:sz w:val="24"/>
        </w:rPr>
      </w:pPr>
      <w:r w:rsidRPr="00B50A5C">
        <w:rPr>
          <w:rFonts w:ascii="Times New Roman" w:hAnsi="Times New Roman" w:cs="Times New Roman"/>
          <w:sz w:val="24"/>
        </w:rPr>
        <w:t>RESULTS AND DISCUSSIONS</w:t>
      </w:r>
    </w:p>
    <w:p w14:paraId="3B525DC0" w14:textId="77777777" w:rsidR="00B50A5C" w:rsidRDefault="00B50A5C" w:rsidP="008E1B14">
      <w:pPr>
        <w:pStyle w:val="ListParagraph"/>
        <w:spacing w:line="240" w:lineRule="auto"/>
        <w:ind w:left="0"/>
        <w:jc w:val="both"/>
        <w:rPr>
          <w:rFonts w:ascii="Times New Roman" w:hAnsi="Times New Roman" w:cs="Times New Roman"/>
          <w:sz w:val="24"/>
        </w:rPr>
      </w:pPr>
    </w:p>
    <w:p w14:paraId="61E367EA" w14:textId="77777777" w:rsidR="00B50A5C" w:rsidRPr="00B50A5C" w:rsidRDefault="00B50A5C" w:rsidP="008E1B14">
      <w:pPr>
        <w:pStyle w:val="ListParagraph"/>
        <w:spacing w:line="240" w:lineRule="auto"/>
        <w:ind w:left="0"/>
        <w:jc w:val="both"/>
        <w:rPr>
          <w:rFonts w:ascii="Times New Roman" w:hAnsi="Times New Roman" w:cs="Times New Roman"/>
          <w:b/>
          <w:sz w:val="24"/>
        </w:rPr>
      </w:pPr>
      <w:r w:rsidRPr="00B50A5C">
        <w:rPr>
          <w:rFonts w:ascii="Times New Roman" w:hAnsi="Times New Roman" w:cs="Times New Roman"/>
          <w:b/>
          <w:sz w:val="24"/>
        </w:rPr>
        <w:t>Results</w:t>
      </w:r>
    </w:p>
    <w:p w14:paraId="6C165BB0" w14:textId="77777777" w:rsidR="006C62C6" w:rsidRDefault="006C62C6" w:rsidP="008E1B14">
      <w:pPr>
        <w:pStyle w:val="ListParagraph"/>
        <w:spacing w:line="240" w:lineRule="auto"/>
        <w:ind w:left="0"/>
        <w:jc w:val="both"/>
        <w:rPr>
          <w:rFonts w:ascii="Times New Roman" w:hAnsi="Times New Roman" w:cs="Times New Roman"/>
          <w:b/>
          <w:sz w:val="24"/>
        </w:rPr>
      </w:pPr>
    </w:p>
    <w:p w14:paraId="30C86D6B" w14:textId="77777777" w:rsidR="006C62C6" w:rsidRDefault="006C62C6"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Results from the study as was computerized, analyzed, and interpreted are presented</w:t>
      </w:r>
      <w:r w:rsidR="00F13F8A">
        <w:rPr>
          <w:rFonts w:ascii="Times New Roman" w:hAnsi="Times New Roman" w:cs="Times New Roman"/>
          <w:sz w:val="24"/>
        </w:rPr>
        <w:t xml:space="preserve"> thus the following information were obtained:</w:t>
      </w:r>
    </w:p>
    <w:p w14:paraId="141A6CBA" w14:textId="77777777" w:rsidR="00F13F8A" w:rsidRDefault="00F13F8A" w:rsidP="008E1B14">
      <w:pPr>
        <w:pStyle w:val="ListParagraph"/>
        <w:spacing w:line="240" w:lineRule="auto"/>
        <w:ind w:left="0"/>
        <w:jc w:val="both"/>
        <w:rPr>
          <w:rFonts w:ascii="Times New Roman" w:hAnsi="Times New Roman" w:cs="Times New Roman"/>
          <w:sz w:val="24"/>
        </w:rPr>
      </w:pPr>
    </w:p>
    <w:p w14:paraId="54C9E0A7" w14:textId="77777777" w:rsidR="00F13F8A" w:rsidRDefault="00F13F8A" w:rsidP="00F13F8A">
      <w:pPr>
        <w:pStyle w:val="ListParagraph"/>
        <w:numPr>
          <w:ilvl w:val="0"/>
          <w:numId w:val="14"/>
        </w:numPr>
        <w:spacing w:line="240" w:lineRule="auto"/>
        <w:jc w:val="both"/>
        <w:rPr>
          <w:rFonts w:ascii="Times New Roman" w:hAnsi="Times New Roman" w:cs="Times New Roman"/>
          <w:b/>
          <w:sz w:val="24"/>
        </w:rPr>
      </w:pPr>
      <w:r>
        <w:rPr>
          <w:rFonts w:ascii="Times New Roman" w:hAnsi="Times New Roman" w:cs="Times New Roman"/>
          <w:b/>
          <w:sz w:val="24"/>
        </w:rPr>
        <w:t>Floristic composition</w:t>
      </w:r>
    </w:p>
    <w:p w14:paraId="5FBC52A3" w14:textId="77777777" w:rsidR="00DA25DF" w:rsidRPr="00F13F8A" w:rsidRDefault="00F13F8A" w:rsidP="008E1B14">
      <w:pPr>
        <w:pStyle w:val="ListParagraph"/>
        <w:spacing w:line="240" w:lineRule="auto"/>
        <w:ind w:left="0"/>
        <w:jc w:val="both"/>
        <w:rPr>
          <w:rFonts w:ascii="Times New Roman" w:hAnsi="Times New Roman" w:cs="Times New Roman"/>
          <w:b/>
          <w:sz w:val="24"/>
        </w:rPr>
      </w:pPr>
      <w:r>
        <w:rPr>
          <w:rFonts w:ascii="Times New Roman" w:hAnsi="Times New Roman" w:cs="Times New Roman"/>
          <w:sz w:val="24"/>
        </w:rPr>
        <w:t xml:space="preserve">The floristic composition of the two locations indicated a uniformity by the availability of 7 known species of plants that are composed of 9 families, out of which Rhizophoraceae, Avicenniaceae, and Cambretaceae are of ‘Major Mangroves Species’ while the rest are of ‘Minor Species’. There is indeed </w:t>
      </w:r>
      <w:r>
        <w:rPr>
          <w:rFonts w:ascii="Times New Roman" w:hAnsi="Times New Roman" w:cs="Times New Roman"/>
          <w:sz w:val="24"/>
        </w:rPr>
        <w:lastRenderedPageBreak/>
        <w:t xml:space="preserve">distributional variation in the both location but cumulatively, the composition is relatively the same. This is as presented in </w:t>
      </w:r>
      <w:r w:rsidRPr="00205597">
        <w:rPr>
          <w:rFonts w:ascii="Times New Roman" w:hAnsi="Times New Roman" w:cs="Times New Roman"/>
          <w:sz w:val="24"/>
          <w:highlight w:val="yellow"/>
        </w:rPr>
        <w:t>Table1:</w:t>
      </w:r>
      <w:r>
        <w:rPr>
          <w:rFonts w:ascii="Times New Roman" w:hAnsi="Times New Roman" w:cs="Times New Roman"/>
          <w:sz w:val="24"/>
        </w:rPr>
        <w:t xml:space="preserve">  </w:t>
      </w:r>
    </w:p>
    <w:p w14:paraId="56BB2D9A" w14:textId="77777777" w:rsidR="006C62C6" w:rsidRDefault="006C62C6" w:rsidP="006C62C6">
      <w:pPr>
        <w:autoSpaceDE w:val="0"/>
        <w:autoSpaceDN w:val="0"/>
        <w:adjustRightInd w:val="0"/>
        <w:spacing w:after="0" w:line="240" w:lineRule="auto"/>
        <w:jc w:val="both"/>
        <w:rPr>
          <w:rFonts w:ascii="Times New Roman" w:eastAsia="Calibri" w:hAnsi="Times New Roman" w:cs="Times New Roman"/>
          <w:b/>
          <w:sz w:val="24"/>
          <w:szCs w:val="24"/>
        </w:rPr>
      </w:pPr>
      <w:r w:rsidRPr="006C62C6">
        <w:rPr>
          <w:rFonts w:ascii="Times New Roman" w:hAnsi="Times New Roman" w:cs="Times New Roman"/>
          <w:b/>
          <w:sz w:val="24"/>
        </w:rPr>
        <w:t>Table 1:</w:t>
      </w:r>
      <w:r>
        <w:rPr>
          <w:rFonts w:ascii="Times New Roman" w:hAnsi="Times New Roman" w:cs="Times New Roman"/>
          <w:b/>
          <w:sz w:val="24"/>
        </w:rPr>
        <w:t xml:space="preserve"> </w:t>
      </w:r>
      <w:r>
        <w:rPr>
          <w:rFonts w:ascii="Times New Roman" w:eastAsia="Calibri" w:hAnsi="Times New Roman" w:cs="Times New Roman"/>
          <w:b/>
          <w:sz w:val="24"/>
          <w:szCs w:val="24"/>
        </w:rPr>
        <w:t xml:space="preserve">Availability and Distribution of Plant Species and Families in the Study Area </w:t>
      </w:r>
    </w:p>
    <w:p w14:paraId="65D1467C" w14:textId="77777777" w:rsidR="00DA25DF" w:rsidRDefault="00DA25DF" w:rsidP="006C62C6">
      <w:pPr>
        <w:autoSpaceDE w:val="0"/>
        <w:autoSpaceDN w:val="0"/>
        <w:adjustRightInd w:val="0"/>
        <w:spacing w:after="0" w:line="240" w:lineRule="auto"/>
        <w:jc w:val="both"/>
        <w:rPr>
          <w:rFonts w:ascii="Times New Roman" w:eastAsia="Calibri" w:hAnsi="Times New Roman" w:cs="Times New Roman"/>
          <w:b/>
          <w:sz w:val="24"/>
          <w:szCs w:val="24"/>
        </w:rPr>
      </w:pPr>
    </w:p>
    <w:tbl>
      <w:tblPr>
        <w:tblStyle w:val="TableGrid"/>
        <w:tblW w:w="961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49"/>
        <w:gridCol w:w="1989"/>
        <w:gridCol w:w="1837"/>
        <w:gridCol w:w="1898"/>
        <w:gridCol w:w="1423"/>
        <w:gridCol w:w="1424"/>
        <w:gridCol w:w="299"/>
      </w:tblGrid>
      <w:tr w:rsidR="001E5453" w14:paraId="323A0EF2" w14:textId="77777777" w:rsidTr="00483F35">
        <w:trPr>
          <w:trHeight w:val="276"/>
        </w:trPr>
        <w:tc>
          <w:tcPr>
            <w:tcW w:w="749" w:type="dxa"/>
            <w:vMerge w:val="restart"/>
            <w:tcBorders>
              <w:top w:val="single" w:sz="4" w:space="0" w:color="auto"/>
              <w:bottom w:val="nil"/>
            </w:tcBorders>
          </w:tcPr>
          <w:p w14:paraId="2889DF36" w14:textId="77777777" w:rsidR="001E5453" w:rsidRPr="008005F3" w:rsidRDefault="001E5453"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S/No</w:t>
            </w:r>
          </w:p>
        </w:tc>
        <w:tc>
          <w:tcPr>
            <w:tcW w:w="1989" w:type="dxa"/>
            <w:vMerge w:val="restart"/>
            <w:tcBorders>
              <w:top w:val="single" w:sz="4" w:space="0" w:color="auto"/>
              <w:bottom w:val="nil"/>
            </w:tcBorders>
          </w:tcPr>
          <w:p w14:paraId="4C44DE21" w14:textId="77777777" w:rsidR="001E5453" w:rsidRPr="008005F3" w:rsidRDefault="001E5453"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Plant Species</w:t>
            </w:r>
          </w:p>
        </w:tc>
        <w:tc>
          <w:tcPr>
            <w:tcW w:w="1837" w:type="dxa"/>
            <w:vMerge w:val="restart"/>
            <w:tcBorders>
              <w:top w:val="single" w:sz="4" w:space="0" w:color="auto"/>
              <w:bottom w:val="nil"/>
            </w:tcBorders>
          </w:tcPr>
          <w:p w14:paraId="090A64B8" w14:textId="77777777" w:rsidR="001E5453" w:rsidRPr="008005F3" w:rsidRDefault="001E5453"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Families </w:t>
            </w:r>
          </w:p>
        </w:tc>
        <w:tc>
          <w:tcPr>
            <w:tcW w:w="1898" w:type="dxa"/>
            <w:vMerge w:val="restart"/>
            <w:tcBorders>
              <w:top w:val="single" w:sz="4" w:space="0" w:color="auto"/>
              <w:bottom w:val="nil"/>
            </w:tcBorders>
          </w:tcPr>
          <w:p w14:paraId="6EC69A51" w14:textId="77777777" w:rsidR="001E5453" w:rsidRPr="008005F3" w:rsidRDefault="001E5453"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Common Names</w:t>
            </w:r>
          </w:p>
        </w:tc>
        <w:tc>
          <w:tcPr>
            <w:tcW w:w="2847" w:type="dxa"/>
            <w:gridSpan w:val="2"/>
            <w:tcBorders>
              <w:top w:val="single" w:sz="4" w:space="0" w:color="auto"/>
              <w:bottom w:val="nil"/>
            </w:tcBorders>
          </w:tcPr>
          <w:p w14:paraId="541B0D76" w14:textId="77777777" w:rsidR="001E5453" w:rsidRPr="008005F3" w:rsidRDefault="001E5453"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Species Density</w:t>
            </w:r>
          </w:p>
        </w:tc>
        <w:tc>
          <w:tcPr>
            <w:tcW w:w="299" w:type="dxa"/>
            <w:vMerge w:val="restart"/>
          </w:tcPr>
          <w:p w14:paraId="2CE04168" w14:textId="77777777" w:rsidR="001E5453" w:rsidRPr="008005F3" w:rsidRDefault="001E5453" w:rsidP="00483F35">
            <w:pPr>
              <w:autoSpaceDE w:val="0"/>
              <w:autoSpaceDN w:val="0"/>
              <w:adjustRightInd w:val="0"/>
              <w:jc w:val="center"/>
              <w:rPr>
                <w:rFonts w:ascii="Times New Roman" w:hAnsi="Times New Roman"/>
                <w:b/>
                <w:sz w:val="24"/>
                <w:szCs w:val="24"/>
              </w:rPr>
            </w:pPr>
          </w:p>
        </w:tc>
      </w:tr>
      <w:tr w:rsidR="001E5453" w14:paraId="12A1EF62" w14:textId="77777777" w:rsidTr="00483F35">
        <w:trPr>
          <w:trHeight w:val="175"/>
        </w:trPr>
        <w:tc>
          <w:tcPr>
            <w:tcW w:w="749" w:type="dxa"/>
            <w:vMerge/>
            <w:tcBorders>
              <w:top w:val="nil"/>
              <w:bottom w:val="single" w:sz="4" w:space="0" w:color="auto"/>
            </w:tcBorders>
          </w:tcPr>
          <w:p w14:paraId="785C1D6C" w14:textId="77777777" w:rsidR="001E5453" w:rsidRDefault="001E5453" w:rsidP="00483F35">
            <w:pPr>
              <w:autoSpaceDE w:val="0"/>
              <w:autoSpaceDN w:val="0"/>
              <w:adjustRightInd w:val="0"/>
              <w:jc w:val="center"/>
              <w:rPr>
                <w:rFonts w:ascii="Times New Roman" w:hAnsi="Times New Roman"/>
                <w:b/>
                <w:sz w:val="24"/>
                <w:szCs w:val="24"/>
              </w:rPr>
            </w:pPr>
          </w:p>
        </w:tc>
        <w:tc>
          <w:tcPr>
            <w:tcW w:w="1989" w:type="dxa"/>
            <w:vMerge/>
            <w:tcBorders>
              <w:top w:val="nil"/>
              <w:bottom w:val="single" w:sz="4" w:space="0" w:color="auto"/>
            </w:tcBorders>
          </w:tcPr>
          <w:p w14:paraId="00E1AB54" w14:textId="77777777" w:rsidR="001E5453" w:rsidRDefault="001E5453" w:rsidP="00483F35">
            <w:pPr>
              <w:autoSpaceDE w:val="0"/>
              <w:autoSpaceDN w:val="0"/>
              <w:adjustRightInd w:val="0"/>
              <w:jc w:val="center"/>
              <w:rPr>
                <w:rFonts w:ascii="Times New Roman" w:hAnsi="Times New Roman"/>
                <w:b/>
                <w:sz w:val="24"/>
                <w:szCs w:val="24"/>
              </w:rPr>
            </w:pPr>
          </w:p>
        </w:tc>
        <w:tc>
          <w:tcPr>
            <w:tcW w:w="1837" w:type="dxa"/>
            <w:vMerge/>
            <w:tcBorders>
              <w:top w:val="nil"/>
              <w:bottom w:val="single" w:sz="4" w:space="0" w:color="auto"/>
            </w:tcBorders>
          </w:tcPr>
          <w:p w14:paraId="6C7668FD" w14:textId="77777777" w:rsidR="001E5453" w:rsidRDefault="001E5453" w:rsidP="00483F35">
            <w:pPr>
              <w:autoSpaceDE w:val="0"/>
              <w:autoSpaceDN w:val="0"/>
              <w:adjustRightInd w:val="0"/>
              <w:jc w:val="center"/>
              <w:rPr>
                <w:rFonts w:ascii="Times New Roman" w:hAnsi="Times New Roman"/>
                <w:b/>
                <w:sz w:val="24"/>
                <w:szCs w:val="24"/>
              </w:rPr>
            </w:pPr>
          </w:p>
        </w:tc>
        <w:tc>
          <w:tcPr>
            <w:tcW w:w="1898" w:type="dxa"/>
            <w:vMerge/>
            <w:tcBorders>
              <w:top w:val="nil"/>
              <w:bottom w:val="single" w:sz="4" w:space="0" w:color="auto"/>
            </w:tcBorders>
          </w:tcPr>
          <w:p w14:paraId="15A6A9F3" w14:textId="77777777" w:rsidR="001E5453" w:rsidRDefault="001E5453" w:rsidP="00483F35">
            <w:pPr>
              <w:autoSpaceDE w:val="0"/>
              <w:autoSpaceDN w:val="0"/>
              <w:adjustRightInd w:val="0"/>
              <w:jc w:val="center"/>
              <w:rPr>
                <w:rFonts w:ascii="Times New Roman" w:hAnsi="Times New Roman"/>
                <w:b/>
                <w:sz w:val="24"/>
                <w:szCs w:val="24"/>
              </w:rPr>
            </w:pPr>
          </w:p>
        </w:tc>
        <w:tc>
          <w:tcPr>
            <w:tcW w:w="1423" w:type="dxa"/>
            <w:tcBorders>
              <w:top w:val="nil"/>
              <w:bottom w:val="single" w:sz="4" w:space="0" w:color="auto"/>
            </w:tcBorders>
          </w:tcPr>
          <w:p w14:paraId="35D28DD8" w14:textId="77777777" w:rsidR="001E5453" w:rsidRPr="008005F3" w:rsidRDefault="001E5453"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Rivers </w:t>
            </w:r>
          </w:p>
        </w:tc>
        <w:tc>
          <w:tcPr>
            <w:tcW w:w="1424" w:type="dxa"/>
            <w:tcBorders>
              <w:top w:val="nil"/>
              <w:bottom w:val="single" w:sz="4" w:space="0" w:color="auto"/>
            </w:tcBorders>
          </w:tcPr>
          <w:p w14:paraId="699864A5" w14:textId="77777777" w:rsidR="001E5453" w:rsidRPr="008005F3" w:rsidRDefault="001E5453"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Bayelsa </w:t>
            </w:r>
          </w:p>
        </w:tc>
        <w:tc>
          <w:tcPr>
            <w:tcW w:w="299" w:type="dxa"/>
            <w:vMerge/>
          </w:tcPr>
          <w:p w14:paraId="1659EB3B" w14:textId="77777777" w:rsidR="001E5453" w:rsidRPr="008005F3" w:rsidRDefault="001E5453" w:rsidP="00483F35">
            <w:pPr>
              <w:autoSpaceDE w:val="0"/>
              <w:autoSpaceDN w:val="0"/>
              <w:adjustRightInd w:val="0"/>
              <w:jc w:val="center"/>
              <w:rPr>
                <w:rFonts w:ascii="Times New Roman" w:hAnsi="Times New Roman"/>
                <w:b/>
                <w:sz w:val="24"/>
                <w:szCs w:val="24"/>
              </w:rPr>
            </w:pPr>
          </w:p>
        </w:tc>
      </w:tr>
      <w:tr w:rsidR="001E5453" w14:paraId="5110C7DA" w14:textId="77777777" w:rsidTr="00483F35">
        <w:trPr>
          <w:trHeight w:val="463"/>
        </w:trPr>
        <w:tc>
          <w:tcPr>
            <w:tcW w:w="749" w:type="dxa"/>
            <w:tcBorders>
              <w:top w:val="single" w:sz="4" w:space="0" w:color="auto"/>
            </w:tcBorders>
          </w:tcPr>
          <w:p w14:paraId="696937E0"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989" w:type="dxa"/>
            <w:tcBorders>
              <w:top w:val="single" w:sz="4" w:space="0" w:color="auto"/>
            </w:tcBorders>
          </w:tcPr>
          <w:p w14:paraId="04916BD6"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Rhizophoraceae</w:t>
            </w:r>
          </w:p>
        </w:tc>
        <w:tc>
          <w:tcPr>
            <w:tcW w:w="1837" w:type="dxa"/>
            <w:tcBorders>
              <w:top w:val="single" w:sz="4" w:space="0" w:color="auto"/>
            </w:tcBorders>
          </w:tcPr>
          <w:p w14:paraId="59E2B3F4" w14:textId="77777777" w:rsidR="001E5453" w:rsidRPr="000E2894" w:rsidRDefault="001E5453" w:rsidP="001E5453">
            <w:pPr>
              <w:autoSpaceDE w:val="0"/>
              <w:autoSpaceDN w:val="0"/>
              <w:adjustRightInd w:val="0"/>
              <w:jc w:val="both"/>
              <w:rPr>
                <w:rFonts w:ascii="Times New Roman" w:hAnsi="Times New Roman"/>
                <w:i/>
                <w:sz w:val="24"/>
                <w:szCs w:val="24"/>
              </w:rPr>
            </w:pPr>
            <w:r w:rsidRPr="000E2894">
              <w:rPr>
                <w:rFonts w:ascii="Times New Roman" w:hAnsi="Times New Roman"/>
                <w:i/>
                <w:sz w:val="24"/>
                <w:szCs w:val="24"/>
              </w:rPr>
              <w:t>R. recemosa</w:t>
            </w:r>
          </w:p>
        </w:tc>
        <w:tc>
          <w:tcPr>
            <w:tcW w:w="1898" w:type="dxa"/>
            <w:tcBorders>
              <w:top w:val="single" w:sz="4" w:space="0" w:color="auto"/>
            </w:tcBorders>
          </w:tcPr>
          <w:p w14:paraId="691E6EDB"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Red mangrove (Tall)</w:t>
            </w:r>
          </w:p>
        </w:tc>
        <w:tc>
          <w:tcPr>
            <w:tcW w:w="1423" w:type="dxa"/>
            <w:tcBorders>
              <w:top w:val="single" w:sz="4" w:space="0" w:color="auto"/>
            </w:tcBorders>
          </w:tcPr>
          <w:p w14:paraId="4F8FB1E2"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351</w:t>
            </w:r>
          </w:p>
          <w:p w14:paraId="56A7FB46"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(46%)</w:t>
            </w:r>
          </w:p>
        </w:tc>
        <w:tc>
          <w:tcPr>
            <w:tcW w:w="1424" w:type="dxa"/>
            <w:tcBorders>
              <w:top w:val="single" w:sz="4" w:space="0" w:color="auto"/>
            </w:tcBorders>
          </w:tcPr>
          <w:p w14:paraId="055F93E9"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406</w:t>
            </w:r>
          </w:p>
          <w:p w14:paraId="3EB9FF34"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(42%)</w:t>
            </w:r>
          </w:p>
        </w:tc>
        <w:tc>
          <w:tcPr>
            <w:tcW w:w="299" w:type="dxa"/>
            <w:vMerge/>
          </w:tcPr>
          <w:p w14:paraId="00803228" w14:textId="77777777" w:rsidR="001E5453" w:rsidRDefault="001E5453" w:rsidP="00483F35">
            <w:pPr>
              <w:autoSpaceDE w:val="0"/>
              <w:autoSpaceDN w:val="0"/>
              <w:adjustRightInd w:val="0"/>
              <w:jc w:val="both"/>
              <w:rPr>
                <w:rFonts w:ascii="Times New Roman" w:hAnsi="Times New Roman"/>
                <w:sz w:val="24"/>
                <w:szCs w:val="24"/>
              </w:rPr>
            </w:pPr>
          </w:p>
        </w:tc>
      </w:tr>
      <w:tr w:rsidR="001E5453" w14:paraId="0B271DF2" w14:textId="77777777" w:rsidTr="00483F35">
        <w:trPr>
          <w:trHeight w:val="451"/>
        </w:trPr>
        <w:tc>
          <w:tcPr>
            <w:tcW w:w="749" w:type="dxa"/>
          </w:tcPr>
          <w:p w14:paraId="0BCFCD31"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989" w:type="dxa"/>
          </w:tcPr>
          <w:p w14:paraId="3DFF8B52"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Rhizophoraceae</w:t>
            </w:r>
          </w:p>
        </w:tc>
        <w:tc>
          <w:tcPr>
            <w:tcW w:w="1837" w:type="dxa"/>
          </w:tcPr>
          <w:p w14:paraId="0F909D50" w14:textId="77777777" w:rsidR="001E5453" w:rsidRPr="000E2894" w:rsidRDefault="001E5453" w:rsidP="001E5453">
            <w:pPr>
              <w:autoSpaceDE w:val="0"/>
              <w:autoSpaceDN w:val="0"/>
              <w:adjustRightInd w:val="0"/>
              <w:jc w:val="both"/>
              <w:rPr>
                <w:rFonts w:ascii="Times New Roman" w:hAnsi="Times New Roman"/>
                <w:i/>
                <w:sz w:val="24"/>
                <w:szCs w:val="24"/>
              </w:rPr>
            </w:pPr>
            <w:r w:rsidRPr="000E2894">
              <w:rPr>
                <w:rFonts w:ascii="Times New Roman" w:hAnsi="Times New Roman"/>
                <w:i/>
                <w:sz w:val="24"/>
                <w:szCs w:val="24"/>
              </w:rPr>
              <w:t>R. harrisonai</w:t>
            </w:r>
          </w:p>
        </w:tc>
        <w:tc>
          <w:tcPr>
            <w:tcW w:w="1898" w:type="dxa"/>
          </w:tcPr>
          <w:p w14:paraId="39EFB558"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Red mangrove (moderate)</w:t>
            </w:r>
          </w:p>
        </w:tc>
        <w:tc>
          <w:tcPr>
            <w:tcW w:w="1423" w:type="dxa"/>
          </w:tcPr>
          <w:p w14:paraId="3C0CBC0C"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153</w:t>
            </w:r>
          </w:p>
          <w:p w14:paraId="4F96F259"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(20%)</w:t>
            </w:r>
          </w:p>
        </w:tc>
        <w:tc>
          <w:tcPr>
            <w:tcW w:w="1424" w:type="dxa"/>
          </w:tcPr>
          <w:p w14:paraId="6CDC1FF0"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173</w:t>
            </w:r>
          </w:p>
          <w:p w14:paraId="53C231B2"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(18%)</w:t>
            </w:r>
          </w:p>
        </w:tc>
        <w:tc>
          <w:tcPr>
            <w:tcW w:w="299" w:type="dxa"/>
            <w:vMerge/>
          </w:tcPr>
          <w:p w14:paraId="5BF96F13" w14:textId="77777777" w:rsidR="001E5453" w:rsidRDefault="001E5453" w:rsidP="00483F35">
            <w:pPr>
              <w:autoSpaceDE w:val="0"/>
              <w:autoSpaceDN w:val="0"/>
              <w:adjustRightInd w:val="0"/>
              <w:jc w:val="both"/>
              <w:rPr>
                <w:rFonts w:ascii="Times New Roman" w:hAnsi="Times New Roman"/>
                <w:sz w:val="24"/>
                <w:szCs w:val="24"/>
              </w:rPr>
            </w:pPr>
          </w:p>
        </w:tc>
      </w:tr>
      <w:tr w:rsidR="001E5453" w14:paraId="2AB14CC0" w14:textId="77777777" w:rsidTr="00483F35">
        <w:trPr>
          <w:trHeight w:val="463"/>
        </w:trPr>
        <w:tc>
          <w:tcPr>
            <w:tcW w:w="749" w:type="dxa"/>
          </w:tcPr>
          <w:p w14:paraId="76B491EC"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989" w:type="dxa"/>
          </w:tcPr>
          <w:p w14:paraId="084EEFBE"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Rhizophoraceae</w:t>
            </w:r>
          </w:p>
        </w:tc>
        <w:tc>
          <w:tcPr>
            <w:tcW w:w="1837" w:type="dxa"/>
          </w:tcPr>
          <w:p w14:paraId="574FF9CE" w14:textId="77777777" w:rsidR="001E5453" w:rsidRPr="000E2894" w:rsidRDefault="001E5453" w:rsidP="001E5453">
            <w:pPr>
              <w:autoSpaceDE w:val="0"/>
              <w:autoSpaceDN w:val="0"/>
              <w:adjustRightInd w:val="0"/>
              <w:jc w:val="both"/>
              <w:rPr>
                <w:rFonts w:ascii="Times New Roman" w:hAnsi="Times New Roman"/>
                <w:i/>
                <w:sz w:val="24"/>
                <w:szCs w:val="24"/>
              </w:rPr>
            </w:pPr>
            <w:r w:rsidRPr="000E2894">
              <w:rPr>
                <w:rFonts w:ascii="Times New Roman" w:hAnsi="Times New Roman"/>
                <w:i/>
                <w:sz w:val="24"/>
                <w:szCs w:val="24"/>
              </w:rPr>
              <w:t>R. mangle</w:t>
            </w:r>
          </w:p>
        </w:tc>
        <w:tc>
          <w:tcPr>
            <w:tcW w:w="1898" w:type="dxa"/>
          </w:tcPr>
          <w:p w14:paraId="322F2D00"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Red mangrove (dwarf)</w:t>
            </w:r>
          </w:p>
        </w:tc>
        <w:tc>
          <w:tcPr>
            <w:tcW w:w="1423" w:type="dxa"/>
          </w:tcPr>
          <w:p w14:paraId="56DE38AF"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191</w:t>
            </w:r>
          </w:p>
          <w:p w14:paraId="263169B1"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(25%)</w:t>
            </w:r>
          </w:p>
        </w:tc>
        <w:tc>
          <w:tcPr>
            <w:tcW w:w="1424" w:type="dxa"/>
          </w:tcPr>
          <w:p w14:paraId="50B07627"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314</w:t>
            </w:r>
          </w:p>
          <w:p w14:paraId="1CB1A19E"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(32%)</w:t>
            </w:r>
          </w:p>
        </w:tc>
        <w:tc>
          <w:tcPr>
            <w:tcW w:w="299" w:type="dxa"/>
            <w:vMerge/>
          </w:tcPr>
          <w:p w14:paraId="6591F001" w14:textId="77777777" w:rsidR="001E5453" w:rsidRDefault="001E5453" w:rsidP="00483F35">
            <w:pPr>
              <w:autoSpaceDE w:val="0"/>
              <w:autoSpaceDN w:val="0"/>
              <w:adjustRightInd w:val="0"/>
              <w:jc w:val="both"/>
              <w:rPr>
                <w:rFonts w:ascii="Times New Roman" w:hAnsi="Times New Roman"/>
                <w:sz w:val="24"/>
                <w:szCs w:val="24"/>
              </w:rPr>
            </w:pPr>
          </w:p>
        </w:tc>
      </w:tr>
      <w:tr w:rsidR="001E5453" w14:paraId="36C2A73E" w14:textId="77777777" w:rsidTr="00483F35">
        <w:trPr>
          <w:trHeight w:val="376"/>
        </w:trPr>
        <w:tc>
          <w:tcPr>
            <w:tcW w:w="749" w:type="dxa"/>
          </w:tcPr>
          <w:p w14:paraId="6EDA3B49"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989" w:type="dxa"/>
          </w:tcPr>
          <w:p w14:paraId="4521620B"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Avicenniaceae</w:t>
            </w:r>
          </w:p>
        </w:tc>
        <w:tc>
          <w:tcPr>
            <w:tcW w:w="1837" w:type="dxa"/>
          </w:tcPr>
          <w:p w14:paraId="2CBB2A05" w14:textId="77777777" w:rsidR="001E5453" w:rsidRPr="000E2894" w:rsidRDefault="001E5453" w:rsidP="001E5453">
            <w:pPr>
              <w:autoSpaceDE w:val="0"/>
              <w:autoSpaceDN w:val="0"/>
              <w:adjustRightInd w:val="0"/>
              <w:jc w:val="both"/>
              <w:rPr>
                <w:rFonts w:ascii="Times New Roman" w:hAnsi="Times New Roman"/>
                <w:i/>
                <w:sz w:val="24"/>
                <w:szCs w:val="24"/>
              </w:rPr>
            </w:pPr>
            <w:r w:rsidRPr="000E2894">
              <w:rPr>
                <w:rFonts w:ascii="Times New Roman" w:hAnsi="Times New Roman"/>
                <w:i/>
                <w:sz w:val="24"/>
                <w:szCs w:val="24"/>
              </w:rPr>
              <w:t>Avicennia germinans</w:t>
            </w:r>
          </w:p>
        </w:tc>
        <w:tc>
          <w:tcPr>
            <w:tcW w:w="1898" w:type="dxa"/>
          </w:tcPr>
          <w:p w14:paraId="2347DC7B"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Black mangrove</w:t>
            </w:r>
          </w:p>
        </w:tc>
        <w:tc>
          <w:tcPr>
            <w:tcW w:w="1423" w:type="dxa"/>
          </w:tcPr>
          <w:p w14:paraId="16E22C49"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39</w:t>
            </w:r>
          </w:p>
          <w:p w14:paraId="7DC99893"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(5.1%)</w:t>
            </w:r>
          </w:p>
        </w:tc>
        <w:tc>
          <w:tcPr>
            <w:tcW w:w="1424" w:type="dxa"/>
          </w:tcPr>
          <w:p w14:paraId="39EF381D"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50</w:t>
            </w:r>
          </w:p>
          <w:p w14:paraId="29487BFD"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99" w:type="dxa"/>
            <w:vMerge/>
          </w:tcPr>
          <w:p w14:paraId="5CC96F60" w14:textId="77777777" w:rsidR="001E5453" w:rsidRDefault="001E5453" w:rsidP="00483F35">
            <w:pPr>
              <w:autoSpaceDE w:val="0"/>
              <w:autoSpaceDN w:val="0"/>
              <w:adjustRightInd w:val="0"/>
              <w:jc w:val="both"/>
              <w:rPr>
                <w:rFonts w:ascii="Times New Roman" w:hAnsi="Times New Roman"/>
                <w:sz w:val="24"/>
                <w:szCs w:val="24"/>
              </w:rPr>
            </w:pPr>
          </w:p>
        </w:tc>
      </w:tr>
      <w:tr w:rsidR="001E5453" w14:paraId="03E460BC" w14:textId="77777777" w:rsidTr="00483F35">
        <w:trPr>
          <w:trHeight w:val="140"/>
        </w:trPr>
        <w:tc>
          <w:tcPr>
            <w:tcW w:w="749" w:type="dxa"/>
          </w:tcPr>
          <w:p w14:paraId="6496C88B"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1989" w:type="dxa"/>
          </w:tcPr>
          <w:p w14:paraId="0798603B"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 xml:space="preserve">Cambretaceae </w:t>
            </w:r>
          </w:p>
        </w:tc>
        <w:tc>
          <w:tcPr>
            <w:tcW w:w="1837" w:type="dxa"/>
          </w:tcPr>
          <w:p w14:paraId="7BB061D7" w14:textId="77777777" w:rsidR="001E5453" w:rsidRPr="000E2894" w:rsidRDefault="001E5453" w:rsidP="001E5453">
            <w:pPr>
              <w:autoSpaceDE w:val="0"/>
              <w:autoSpaceDN w:val="0"/>
              <w:adjustRightInd w:val="0"/>
              <w:jc w:val="both"/>
              <w:rPr>
                <w:rFonts w:ascii="Times New Roman" w:hAnsi="Times New Roman"/>
                <w:i/>
                <w:sz w:val="24"/>
                <w:szCs w:val="24"/>
              </w:rPr>
            </w:pPr>
            <w:r>
              <w:rPr>
                <w:rFonts w:ascii="Times New Roman" w:hAnsi="Times New Roman"/>
                <w:i/>
                <w:sz w:val="24"/>
                <w:szCs w:val="24"/>
              </w:rPr>
              <w:t>Laguncularia recemosa</w:t>
            </w:r>
          </w:p>
        </w:tc>
        <w:tc>
          <w:tcPr>
            <w:tcW w:w="1898" w:type="dxa"/>
          </w:tcPr>
          <w:p w14:paraId="38A66DF7"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White mangrove</w:t>
            </w:r>
          </w:p>
        </w:tc>
        <w:tc>
          <w:tcPr>
            <w:tcW w:w="1423" w:type="dxa"/>
          </w:tcPr>
          <w:p w14:paraId="63D5761E"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w:t>
            </w:r>
          </w:p>
          <w:p w14:paraId="0F21517D"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(1.4%)</w:t>
            </w:r>
          </w:p>
        </w:tc>
        <w:tc>
          <w:tcPr>
            <w:tcW w:w="1424" w:type="dxa"/>
          </w:tcPr>
          <w:p w14:paraId="0C3FF42B"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w:t>
            </w:r>
          </w:p>
          <w:p w14:paraId="0C86BB3D"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299" w:type="dxa"/>
            <w:vMerge/>
          </w:tcPr>
          <w:p w14:paraId="27C9CDAE" w14:textId="77777777" w:rsidR="001E5453" w:rsidRDefault="001E5453" w:rsidP="00483F35">
            <w:pPr>
              <w:autoSpaceDE w:val="0"/>
              <w:autoSpaceDN w:val="0"/>
              <w:adjustRightInd w:val="0"/>
              <w:jc w:val="both"/>
              <w:rPr>
                <w:rFonts w:ascii="Times New Roman" w:hAnsi="Times New Roman"/>
                <w:sz w:val="24"/>
                <w:szCs w:val="24"/>
              </w:rPr>
            </w:pPr>
          </w:p>
        </w:tc>
      </w:tr>
      <w:tr w:rsidR="001E5453" w14:paraId="5BCEE765" w14:textId="77777777" w:rsidTr="00483F35">
        <w:trPr>
          <w:trHeight w:val="125"/>
        </w:trPr>
        <w:tc>
          <w:tcPr>
            <w:tcW w:w="749" w:type="dxa"/>
          </w:tcPr>
          <w:p w14:paraId="6B5FBB93"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1989" w:type="dxa"/>
          </w:tcPr>
          <w:p w14:paraId="52ABE7D8"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 xml:space="preserve">Arecaceae </w:t>
            </w:r>
          </w:p>
        </w:tc>
        <w:tc>
          <w:tcPr>
            <w:tcW w:w="1837" w:type="dxa"/>
          </w:tcPr>
          <w:p w14:paraId="27EA239C" w14:textId="77777777" w:rsidR="001E5453" w:rsidRPr="000E2894" w:rsidRDefault="001E5453" w:rsidP="001E5453">
            <w:pPr>
              <w:autoSpaceDE w:val="0"/>
              <w:autoSpaceDN w:val="0"/>
              <w:adjustRightInd w:val="0"/>
              <w:jc w:val="both"/>
              <w:rPr>
                <w:rFonts w:ascii="Times New Roman" w:hAnsi="Times New Roman"/>
                <w:i/>
                <w:sz w:val="24"/>
                <w:szCs w:val="24"/>
              </w:rPr>
            </w:pPr>
            <w:r>
              <w:rPr>
                <w:rFonts w:ascii="Times New Roman" w:hAnsi="Times New Roman"/>
                <w:i/>
                <w:sz w:val="24"/>
                <w:szCs w:val="24"/>
              </w:rPr>
              <w:t>Nypa fructicans</w:t>
            </w:r>
          </w:p>
        </w:tc>
        <w:tc>
          <w:tcPr>
            <w:tcW w:w="1898" w:type="dxa"/>
          </w:tcPr>
          <w:p w14:paraId="5C64DEDA"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Nypa Palm</w:t>
            </w:r>
          </w:p>
        </w:tc>
        <w:tc>
          <w:tcPr>
            <w:tcW w:w="1423" w:type="dxa"/>
          </w:tcPr>
          <w:p w14:paraId="24C64077"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5</w:t>
            </w:r>
          </w:p>
          <w:p w14:paraId="64A3E4F4"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(0.7%)</w:t>
            </w:r>
          </w:p>
        </w:tc>
        <w:tc>
          <w:tcPr>
            <w:tcW w:w="1424" w:type="dxa"/>
          </w:tcPr>
          <w:p w14:paraId="7E9348AB"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5</w:t>
            </w:r>
          </w:p>
          <w:p w14:paraId="7357B4C4"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(0.5%)</w:t>
            </w:r>
          </w:p>
        </w:tc>
        <w:tc>
          <w:tcPr>
            <w:tcW w:w="299" w:type="dxa"/>
            <w:vMerge/>
          </w:tcPr>
          <w:p w14:paraId="06BEABBB" w14:textId="77777777" w:rsidR="001E5453" w:rsidRDefault="001E5453" w:rsidP="00483F35">
            <w:pPr>
              <w:autoSpaceDE w:val="0"/>
              <w:autoSpaceDN w:val="0"/>
              <w:adjustRightInd w:val="0"/>
              <w:jc w:val="both"/>
              <w:rPr>
                <w:rFonts w:ascii="Times New Roman" w:hAnsi="Times New Roman"/>
                <w:sz w:val="24"/>
                <w:szCs w:val="24"/>
              </w:rPr>
            </w:pPr>
          </w:p>
        </w:tc>
      </w:tr>
      <w:tr w:rsidR="001E5453" w14:paraId="095B4223" w14:textId="77777777" w:rsidTr="00483F35">
        <w:trPr>
          <w:trHeight w:val="113"/>
        </w:trPr>
        <w:tc>
          <w:tcPr>
            <w:tcW w:w="749" w:type="dxa"/>
          </w:tcPr>
          <w:p w14:paraId="2B8FEBF4"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1989" w:type="dxa"/>
          </w:tcPr>
          <w:p w14:paraId="4B5BB673"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 xml:space="preserve">Arecaceae </w:t>
            </w:r>
          </w:p>
        </w:tc>
        <w:tc>
          <w:tcPr>
            <w:tcW w:w="1837" w:type="dxa"/>
          </w:tcPr>
          <w:p w14:paraId="18732635" w14:textId="77777777" w:rsidR="001E5453" w:rsidRPr="000E2894" w:rsidRDefault="001E5453" w:rsidP="001E5453">
            <w:pPr>
              <w:autoSpaceDE w:val="0"/>
              <w:autoSpaceDN w:val="0"/>
              <w:adjustRightInd w:val="0"/>
              <w:jc w:val="both"/>
              <w:rPr>
                <w:rFonts w:ascii="Times New Roman" w:hAnsi="Times New Roman"/>
                <w:i/>
                <w:sz w:val="24"/>
                <w:szCs w:val="24"/>
              </w:rPr>
            </w:pPr>
            <w:r>
              <w:rPr>
                <w:rFonts w:ascii="Times New Roman" w:hAnsi="Times New Roman"/>
                <w:i/>
                <w:sz w:val="24"/>
                <w:szCs w:val="24"/>
              </w:rPr>
              <w:t>Phoenix poludosa</w:t>
            </w:r>
          </w:p>
        </w:tc>
        <w:tc>
          <w:tcPr>
            <w:tcW w:w="1898" w:type="dxa"/>
          </w:tcPr>
          <w:p w14:paraId="148D7D39"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Mangrove date palm</w:t>
            </w:r>
          </w:p>
        </w:tc>
        <w:tc>
          <w:tcPr>
            <w:tcW w:w="1423" w:type="dxa"/>
          </w:tcPr>
          <w:p w14:paraId="1309AF81"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6</w:t>
            </w:r>
          </w:p>
          <w:p w14:paraId="759E9963"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1424" w:type="dxa"/>
          </w:tcPr>
          <w:p w14:paraId="606F6DA3"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7</w:t>
            </w:r>
          </w:p>
          <w:p w14:paraId="2DCDFE07"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(0.7%)</w:t>
            </w:r>
          </w:p>
        </w:tc>
        <w:tc>
          <w:tcPr>
            <w:tcW w:w="299" w:type="dxa"/>
            <w:vMerge/>
          </w:tcPr>
          <w:p w14:paraId="52971707" w14:textId="77777777" w:rsidR="001E5453" w:rsidRDefault="001E5453" w:rsidP="00483F35">
            <w:pPr>
              <w:autoSpaceDE w:val="0"/>
              <w:autoSpaceDN w:val="0"/>
              <w:adjustRightInd w:val="0"/>
              <w:jc w:val="both"/>
              <w:rPr>
                <w:rFonts w:ascii="Times New Roman" w:hAnsi="Times New Roman"/>
                <w:sz w:val="24"/>
                <w:szCs w:val="24"/>
              </w:rPr>
            </w:pPr>
          </w:p>
        </w:tc>
      </w:tr>
      <w:tr w:rsidR="001E5453" w14:paraId="02B8DF01" w14:textId="77777777" w:rsidTr="00483F35">
        <w:trPr>
          <w:trHeight w:val="105"/>
        </w:trPr>
        <w:tc>
          <w:tcPr>
            <w:tcW w:w="749" w:type="dxa"/>
          </w:tcPr>
          <w:p w14:paraId="0D04DCFC"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8.</w:t>
            </w:r>
          </w:p>
        </w:tc>
        <w:tc>
          <w:tcPr>
            <w:tcW w:w="1989" w:type="dxa"/>
          </w:tcPr>
          <w:p w14:paraId="0E9E5FBB"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 xml:space="preserve">Pteridoceae </w:t>
            </w:r>
          </w:p>
        </w:tc>
        <w:tc>
          <w:tcPr>
            <w:tcW w:w="1837" w:type="dxa"/>
          </w:tcPr>
          <w:p w14:paraId="6CCB348A" w14:textId="77777777" w:rsidR="001E5453" w:rsidRPr="000E2894" w:rsidRDefault="001E5453" w:rsidP="001E5453">
            <w:pPr>
              <w:autoSpaceDE w:val="0"/>
              <w:autoSpaceDN w:val="0"/>
              <w:adjustRightInd w:val="0"/>
              <w:jc w:val="both"/>
              <w:rPr>
                <w:rFonts w:ascii="Times New Roman" w:hAnsi="Times New Roman"/>
                <w:i/>
                <w:sz w:val="24"/>
                <w:szCs w:val="24"/>
              </w:rPr>
            </w:pPr>
            <w:r>
              <w:rPr>
                <w:rFonts w:ascii="Times New Roman" w:hAnsi="Times New Roman"/>
                <w:i/>
                <w:sz w:val="24"/>
                <w:szCs w:val="24"/>
              </w:rPr>
              <w:t>Acrosticum aereum</w:t>
            </w:r>
          </w:p>
        </w:tc>
        <w:tc>
          <w:tcPr>
            <w:tcW w:w="1898" w:type="dxa"/>
          </w:tcPr>
          <w:p w14:paraId="4AAB8765"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Mangrove (leather fern)</w:t>
            </w:r>
          </w:p>
        </w:tc>
        <w:tc>
          <w:tcPr>
            <w:tcW w:w="1423" w:type="dxa"/>
          </w:tcPr>
          <w:p w14:paraId="317611DF"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5</w:t>
            </w:r>
          </w:p>
          <w:p w14:paraId="19986C3C"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(0.7%)</w:t>
            </w:r>
          </w:p>
        </w:tc>
        <w:tc>
          <w:tcPr>
            <w:tcW w:w="1424" w:type="dxa"/>
          </w:tcPr>
          <w:p w14:paraId="077CF392"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2</w:t>
            </w:r>
          </w:p>
          <w:p w14:paraId="5F98DD3D"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299" w:type="dxa"/>
            <w:vMerge/>
          </w:tcPr>
          <w:p w14:paraId="066C45A8" w14:textId="77777777" w:rsidR="001E5453" w:rsidRDefault="001E5453" w:rsidP="00483F35">
            <w:pPr>
              <w:autoSpaceDE w:val="0"/>
              <w:autoSpaceDN w:val="0"/>
              <w:adjustRightInd w:val="0"/>
              <w:jc w:val="both"/>
              <w:rPr>
                <w:rFonts w:ascii="Times New Roman" w:hAnsi="Times New Roman"/>
                <w:sz w:val="24"/>
                <w:szCs w:val="24"/>
              </w:rPr>
            </w:pPr>
          </w:p>
        </w:tc>
      </w:tr>
      <w:tr w:rsidR="001E5453" w14:paraId="0771F873" w14:textId="77777777" w:rsidTr="00483F35">
        <w:trPr>
          <w:trHeight w:val="238"/>
        </w:trPr>
        <w:tc>
          <w:tcPr>
            <w:tcW w:w="749" w:type="dxa"/>
          </w:tcPr>
          <w:p w14:paraId="094FD9D8"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9.</w:t>
            </w:r>
          </w:p>
        </w:tc>
        <w:tc>
          <w:tcPr>
            <w:tcW w:w="1989" w:type="dxa"/>
          </w:tcPr>
          <w:p w14:paraId="5764FAF4"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 xml:space="preserve">Malvaceae </w:t>
            </w:r>
          </w:p>
        </w:tc>
        <w:tc>
          <w:tcPr>
            <w:tcW w:w="1837" w:type="dxa"/>
          </w:tcPr>
          <w:p w14:paraId="57FC380C" w14:textId="77777777" w:rsidR="001E5453" w:rsidRPr="003A2D22" w:rsidRDefault="001E5453" w:rsidP="00483F35">
            <w:pPr>
              <w:autoSpaceDE w:val="0"/>
              <w:autoSpaceDN w:val="0"/>
              <w:adjustRightInd w:val="0"/>
              <w:jc w:val="both"/>
              <w:rPr>
                <w:rFonts w:ascii="Times New Roman" w:hAnsi="Times New Roman"/>
                <w:i/>
                <w:sz w:val="24"/>
                <w:szCs w:val="24"/>
              </w:rPr>
            </w:pPr>
            <w:r>
              <w:rPr>
                <w:rFonts w:ascii="Times New Roman" w:hAnsi="Times New Roman"/>
                <w:i/>
                <w:sz w:val="24"/>
                <w:szCs w:val="24"/>
              </w:rPr>
              <w:t>Hibiscus tilanceous</w:t>
            </w:r>
          </w:p>
        </w:tc>
        <w:tc>
          <w:tcPr>
            <w:tcW w:w="1898" w:type="dxa"/>
          </w:tcPr>
          <w:p w14:paraId="01FF17FA"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Marine okra</w:t>
            </w:r>
          </w:p>
        </w:tc>
        <w:tc>
          <w:tcPr>
            <w:tcW w:w="1423" w:type="dxa"/>
          </w:tcPr>
          <w:p w14:paraId="32478FB6"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2</w:t>
            </w:r>
          </w:p>
          <w:p w14:paraId="7E61144E"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424" w:type="dxa"/>
          </w:tcPr>
          <w:p w14:paraId="6D54E759"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4</w:t>
            </w:r>
          </w:p>
          <w:p w14:paraId="6D3C3AA3"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299" w:type="dxa"/>
            <w:vMerge/>
          </w:tcPr>
          <w:p w14:paraId="3AA2826A" w14:textId="77777777" w:rsidR="001E5453" w:rsidRDefault="001E5453" w:rsidP="00483F35">
            <w:pPr>
              <w:autoSpaceDE w:val="0"/>
              <w:autoSpaceDN w:val="0"/>
              <w:adjustRightInd w:val="0"/>
              <w:jc w:val="both"/>
              <w:rPr>
                <w:rFonts w:ascii="Times New Roman" w:hAnsi="Times New Roman"/>
                <w:sz w:val="24"/>
                <w:szCs w:val="24"/>
              </w:rPr>
            </w:pPr>
          </w:p>
        </w:tc>
      </w:tr>
      <w:tr w:rsidR="001E5453" w14:paraId="44AD8C83" w14:textId="77777777" w:rsidTr="00483F35">
        <w:trPr>
          <w:trHeight w:val="210"/>
        </w:trPr>
        <w:tc>
          <w:tcPr>
            <w:tcW w:w="749" w:type="dxa"/>
          </w:tcPr>
          <w:p w14:paraId="3A550262"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1989" w:type="dxa"/>
          </w:tcPr>
          <w:p w14:paraId="6A4942B0"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 xml:space="preserve">Unknown </w:t>
            </w:r>
          </w:p>
        </w:tc>
        <w:tc>
          <w:tcPr>
            <w:tcW w:w="1837" w:type="dxa"/>
          </w:tcPr>
          <w:p w14:paraId="17905905" w14:textId="77777777" w:rsidR="001E5453" w:rsidRDefault="001E5453" w:rsidP="00483F35">
            <w:pPr>
              <w:autoSpaceDE w:val="0"/>
              <w:autoSpaceDN w:val="0"/>
              <w:adjustRightInd w:val="0"/>
              <w:jc w:val="both"/>
              <w:rPr>
                <w:rFonts w:ascii="Times New Roman" w:hAnsi="Times New Roman"/>
                <w:sz w:val="24"/>
                <w:szCs w:val="24"/>
              </w:rPr>
            </w:pPr>
            <w:r>
              <w:rPr>
                <w:rFonts w:ascii="Times New Roman" w:hAnsi="Times New Roman"/>
                <w:sz w:val="24"/>
                <w:szCs w:val="24"/>
              </w:rPr>
              <w:t xml:space="preserve">Unknown </w:t>
            </w:r>
          </w:p>
        </w:tc>
        <w:tc>
          <w:tcPr>
            <w:tcW w:w="1898" w:type="dxa"/>
          </w:tcPr>
          <w:p w14:paraId="17B3CAB1" w14:textId="77777777" w:rsidR="001E5453" w:rsidRDefault="001E5453" w:rsidP="001E5453">
            <w:pPr>
              <w:autoSpaceDE w:val="0"/>
              <w:autoSpaceDN w:val="0"/>
              <w:adjustRightInd w:val="0"/>
              <w:jc w:val="both"/>
              <w:rPr>
                <w:rFonts w:ascii="Times New Roman" w:hAnsi="Times New Roman"/>
                <w:sz w:val="24"/>
                <w:szCs w:val="24"/>
              </w:rPr>
            </w:pPr>
            <w:r>
              <w:rPr>
                <w:rFonts w:ascii="Times New Roman" w:hAnsi="Times New Roman"/>
                <w:sz w:val="24"/>
                <w:szCs w:val="24"/>
              </w:rPr>
              <w:t>Marine sour sop</w:t>
            </w:r>
          </w:p>
        </w:tc>
        <w:tc>
          <w:tcPr>
            <w:tcW w:w="1423" w:type="dxa"/>
          </w:tcPr>
          <w:p w14:paraId="6773B2C7"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w:t>
            </w:r>
          </w:p>
          <w:p w14:paraId="5C9E6B43"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1424" w:type="dxa"/>
          </w:tcPr>
          <w:p w14:paraId="4485C38E" w14:textId="77777777" w:rsidR="001E5453" w:rsidRDefault="001E5453" w:rsidP="00483F35">
            <w:pPr>
              <w:autoSpaceDE w:val="0"/>
              <w:autoSpaceDN w:val="0"/>
              <w:adjustRightInd w:val="0"/>
              <w:jc w:val="center"/>
              <w:rPr>
                <w:rFonts w:ascii="Times New Roman" w:hAnsi="Times New Roman"/>
                <w:sz w:val="24"/>
                <w:szCs w:val="24"/>
              </w:rPr>
            </w:pPr>
            <w:r>
              <w:rPr>
                <w:rFonts w:ascii="Times New Roman" w:hAnsi="Times New Roman"/>
                <w:sz w:val="24"/>
                <w:szCs w:val="24"/>
              </w:rPr>
              <w:t>1</w:t>
            </w:r>
          </w:p>
          <w:p w14:paraId="5AABECBC" w14:textId="77777777" w:rsidR="001E5453" w:rsidRDefault="001E5453"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(0.1%)</w:t>
            </w:r>
          </w:p>
        </w:tc>
        <w:tc>
          <w:tcPr>
            <w:tcW w:w="299" w:type="dxa"/>
            <w:vMerge/>
          </w:tcPr>
          <w:p w14:paraId="10A5D373" w14:textId="77777777" w:rsidR="001E5453" w:rsidRDefault="001E5453" w:rsidP="00483F35">
            <w:pPr>
              <w:autoSpaceDE w:val="0"/>
              <w:autoSpaceDN w:val="0"/>
              <w:adjustRightInd w:val="0"/>
              <w:jc w:val="both"/>
              <w:rPr>
                <w:rFonts w:ascii="Times New Roman" w:hAnsi="Times New Roman"/>
                <w:sz w:val="24"/>
                <w:szCs w:val="24"/>
              </w:rPr>
            </w:pPr>
          </w:p>
        </w:tc>
      </w:tr>
    </w:tbl>
    <w:p w14:paraId="50F45E19" w14:textId="77777777" w:rsidR="00F13F8A" w:rsidRDefault="00F13F8A" w:rsidP="008E1B14">
      <w:pPr>
        <w:pStyle w:val="ListParagraph"/>
        <w:spacing w:line="240" w:lineRule="auto"/>
        <w:ind w:left="0"/>
        <w:jc w:val="both"/>
        <w:rPr>
          <w:rFonts w:ascii="Times New Roman" w:hAnsi="Times New Roman" w:cs="Times New Roman"/>
          <w:sz w:val="24"/>
        </w:rPr>
      </w:pPr>
    </w:p>
    <w:p w14:paraId="49CABD1F" w14:textId="77777777" w:rsidR="00735172" w:rsidRPr="00F13F8A" w:rsidRDefault="00F13F8A" w:rsidP="00F13F8A">
      <w:pPr>
        <w:pStyle w:val="ListParagraph"/>
        <w:numPr>
          <w:ilvl w:val="0"/>
          <w:numId w:val="14"/>
        </w:numPr>
        <w:spacing w:line="240" w:lineRule="auto"/>
        <w:jc w:val="both"/>
        <w:rPr>
          <w:rFonts w:ascii="Times New Roman" w:hAnsi="Times New Roman" w:cs="Times New Roman"/>
          <w:b/>
          <w:sz w:val="24"/>
        </w:rPr>
      </w:pPr>
      <w:r w:rsidRPr="00F13F8A">
        <w:rPr>
          <w:rFonts w:ascii="Times New Roman" w:hAnsi="Times New Roman" w:cs="Times New Roman"/>
          <w:b/>
          <w:sz w:val="24"/>
        </w:rPr>
        <w:t>Fauna Composition</w:t>
      </w:r>
    </w:p>
    <w:p w14:paraId="01C63884" w14:textId="77777777" w:rsidR="00F13F8A" w:rsidRDefault="00F13F8A" w:rsidP="008E1B14">
      <w:pPr>
        <w:pStyle w:val="ListParagraph"/>
        <w:spacing w:line="240" w:lineRule="auto"/>
        <w:ind w:left="0"/>
        <w:jc w:val="both"/>
        <w:rPr>
          <w:rFonts w:ascii="Times New Roman" w:hAnsi="Times New Roman" w:cs="Times New Roman"/>
          <w:sz w:val="24"/>
        </w:rPr>
      </w:pPr>
    </w:p>
    <w:p w14:paraId="2C72C2CC" w14:textId="77777777" w:rsidR="00F13F8A" w:rsidRDefault="00F13F8A"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 xml:space="preserve">Fauna </w:t>
      </w:r>
      <w:r w:rsidR="001D16A4">
        <w:rPr>
          <w:rFonts w:ascii="Times New Roman" w:hAnsi="Times New Roman" w:cs="Times New Roman"/>
          <w:sz w:val="24"/>
        </w:rPr>
        <w:t xml:space="preserve">composition was an </w:t>
      </w:r>
      <w:r>
        <w:rPr>
          <w:rFonts w:ascii="Times New Roman" w:hAnsi="Times New Roman" w:cs="Times New Roman"/>
          <w:sz w:val="24"/>
        </w:rPr>
        <w:t xml:space="preserve">item </w:t>
      </w:r>
      <w:r w:rsidR="001D16A4">
        <w:rPr>
          <w:rFonts w:ascii="Times New Roman" w:hAnsi="Times New Roman" w:cs="Times New Roman"/>
          <w:sz w:val="24"/>
        </w:rPr>
        <w:t xml:space="preserve">of </w:t>
      </w:r>
      <w:r>
        <w:rPr>
          <w:rFonts w:ascii="Times New Roman" w:hAnsi="Times New Roman" w:cs="Times New Roman"/>
          <w:sz w:val="24"/>
        </w:rPr>
        <w:t xml:space="preserve">qualitative information and from the </w:t>
      </w:r>
      <w:r w:rsidR="001D16A4">
        <w:rPr>
          <w:rFonts w:ascii="Times New Roman" w:hAnsi="Times New Roman" w:cs="Times New Roman"/>
          <w:sz w:val="24"/>
        </w:rPr>
        <w:t>narratives they are available in several categories with respect to mangroves’ natural function as a habitat, breeding, and foraging as follows:</w:t>
      </w:r>
    </w:p>
    <w:p w14:paraId="49A7D158" w14:textId="77777777" w:rsidR="001D16A4" w:rsidRDefault="001D16A4" w:rsidP="001D16A4">
      <w:pPr>
        <w:pStyle w:val="ListParagraph"/>
        <w:numPr>
          <w:ilvl w:val="0"/>
          <w:numId w:val="15"/>
        </w:numPr>
        <w:spacing w:line="240" w:lineRule="auto"/>
        <w:jc w:val="both"/>
        <w:rPr>
          <w:rFonts w:ascii="Times New Roman" w:hAnsi="Times New Roman" w:cs="Times New Roman"/>
          <w:sz w:val="24"/>
        </w:rPr>
      </w:pPr>
      <w:r>
        <w:rPr>
          <w:rFonts w:ascii="Times New Roman" w:hAnsi="Times New Roman" w:cs="Times New Roman"/>
          <w:sz w:val="24"/>
        </w:rPr>
        <w:t xml:space="preserve">Mangrove as habitat for </w:t>
      </w:r>
      <w:r w:rsidRPr="00205597">
        <w:rPr>
          <w:rFonts w:ascii="Times New Roman" w:hAnsi="Times New Roman" w:cs="Times New Roman"/>
          <w:sz w:val="24"/>
          <w:highlight w:val="yellow"/>
        </w:rPr>
        <w:t>avi (birds) fauna</w:t>
      </w:r>
    </w:p>
    <w:p w14:paraId="46170784" w14:textId="77777777" w:rsidR="001D16A4" w:rsidRDefault="001D16A4" w:rsidP="001D16A4">
      <w:pPr>
        <w:pStyle w:val="ListParagraph"/>
        <w:numPr>
          <w:ilvl w:val="0"/>
          <w:numId w:val="15"/>
        </w:numPr>
        <w:spacing w:line="240" w:lineRule="auto"/>
        <w:jc w:val="both"/>
        <w:rPr>
          <w:rFonts w:ascii="Times New Roman" w:hAnsi="Times New Roman" w:cs="Times New Roman"/>
          <w:sz w:val="24"/>
        </w:rPr>
      </w:pPr>
      <w:r>
        <w:rPr>
          <w:rFonts w:ascii="Times New Roman" w:hAnsi="Times New Roman" w:cs="Times New Roman"/>
          <w:sz w:val="24"/>
        </w:rPr>
        <w:t>Mangroves as a habitat for Reptiles</w:t>
      </w:r>
    </w:p>
    <w:p w14:paraId="7C883807" w14:textId="77777777" w:rsidR="001D16A4" w:rsidRDefault="001D16A4" w:rsidP="001D16A4">
      <w:pPr>
        <w:pStyle w:val="ListParagraph"/>
        <w:numPr>
          <w:ilvl w:val="0"/>
          <w:numId w:val="15"/>
        </w:numPr>
        <w:spacing w:line="240" w:lineRule="auto"/>
        <w:jc w:val="both"/>
        <w:rPr>
          <w:rFonts w:ascii="Times New Roman" w:hAnsi="Times New Roman" w:cs="Times New Roman"/>
          <w:sz w:val="24"/>
        </w:rPr>
      </w:pPr>
      <w:r>
        <w:rPr>
          <w:rFonts w:ascii="Times New Roman" w:hAnsi="Times New Roman" w:cs="Times New Roman"/>
          <w:sz w:val="24"/>
        </w:rPr>
        <w:t xml:space="preserve">Mangrove as a </w:t>
      </w:r>
      <w:r w:rsidR="00942316">
        <w:rPr>
          <w:rFonts w:ascii="Times New Roman" w:hAnsi="Times New Roman" w:cs="Times New Roman"/>
          <w:sz w:val="24"/>
        </w:rPr>
        <w:t>habitat for mammals</w:t>
      </w:r>
    </w:p>
    <w:p w14:paraId="10DA6606" w14:textId="77777777" w:rsidR="00942316" w:rsidRDefault="00942316" w:rsidP="001D16A4">
      <w:pPr>
        <w:pStyle w:val="ListParagraph"/>
        <w:numPr>
          <w:ilvl w:val="0"/>
          <w:numId w:val="15"/>
        </w:numPr>
        <w:spacing w:line="240" w:lineRule="auto"/>
        <w:jc w:val="both"/>
        <w:rPr>
          <w:rFonts w:ascii="Times New Roman" w:hAnsi="Times New Roman" w:cs="Times New Roman"/>
          <w:sz w:val="24"/>
        </w:rPr>
      </w:pPr>
      <w:r>
        <w:rPr>
          <w:rFonts w:ascii="Times New Roman" w:hAnsi="Times New Roman" w:cs="Times New Roman"/>
          <w:sz w:val="24"/>
        </w:rPr>
        <w:t>Mangrove as habitat for fish, and</w:t>
      </w:r>
    </w:p>
    <w:p w14:paraId="2588A2DD" w14:textId="77777777" w:rsidR="00942316" w:rsidRDefault="00942316" w:rsidP="001D16A4">
      <w:pPr>
        <w:pStyle w:val="ListParagraph"/>
        <w:numPr>
          <w:ilvl w:val="0"/>
          <w:numId w:val="15"/>
        </w:numPr>
        <w:spacing w:line="240" w:lineRule="auto"/>
        <w:jc w:val="both"/>
        <w:rPr>
          <w:rFonts w:ascii="Times New Roman" w:hAnsi="Times New Roman" w:cs="Times New Roman"/>
          <w:sz w:val="24"/>
        </w:rPr>
      </w:pPr>
      <w:r>
        <w:rPr>
          <w:rFonts w:ascii="Times New Roman" w:hAnsi="Times New Roman" w:cs="Times New Roman"/>
          <w:sz w:val="24"/>
        </w:rPr>
        <w:t>Mangrove as habitat for invertebrates</w:t>
      </w:r>
    </w:p>
    <w:p w14:paraId="05DCB1FC" w14:textId="77777777" w:rsidR="00942316" w:rsidRPr="00B92105" w:rsidRDefault="00942316" w:rsidP="00B92105">
      <w:pPr>
        <w:spacing w:line="240" w:lineRule="auto"/>
        <w:jc w:val="both"/>
        <w:rPr>
          <w:rFonts w:ascii="Times New Roman" w:hAnsi="Times New Roman" w:cs="Times New Roman"/>
          <w:b/>
          <w:sz w:val="2"/>
        </w:rPr>
      </w:pPr>
    </w:p>
    <w:p w14:paraId="7EA4BEC6" w14:textId="77777777" w:rsidR="00B92105" w:rsidRPr="00B92105" w:rsidRDefault="00E14D23" w:rsidP="00B92105">
      <w:pPr>
        <w:pStyle w:val="ListParagraph"/>
        <w:numPr>
          <w:ilvl w:val="0"/>
          <w:numId w:val="14"/>
        </w:numPr>
        <w:spacing w:line="240" w:lineRule="auto"/>
        <w:jc w:val="both"/>
        <w:rPr>
          <w:rFonts w:ascii="Times New Roman" w:hAnsi="Times New Roman" w:cs="Times New Roman"/>
          <w:b/>
          <w:sz w:val="24"/>
        </w:rPr>
      </w:pPr>
      <w:r>
        <w:rPr>
          <w:rFonts w:ascii="Times New Roman" w:hAnsi="Times New Roman" w:cs="Times New Roman"/>
          <w:b/>
          <w:sz w:val="24"/>
        </w:rPr>
        <w:t xml:space="preserve">Exploring and Assessing </w:t>
      </w:r>
      <w:r w:rsidR="00B92105">
        <w:rPr>
          <w:rFonts w:ascii="Times New Roman" w:hAnsi="Times New Roman" w:cs="Times New Roman"/>
          <w:b/>
          <w:sz w:val="24"/>
        </w:rPr>
        <w:t>Economic Value Potentials</w:t>
      </w:r>
    </w:p>
    <w:p w14:paraId="1137B4E8" w14:textId="77777777" w:rsidR="001D16A4" w:rsidRDefault="001D16A4" w:rsidP="008E1B14">
      <w:pPr>
        <w:pStyle w:val="ListParagraph"/>
        <w:spacing w:line="240" w:lineRule="auto"/>
        <w:ind w:left="0"/>
        <w:jc w:val="both"/>
        <w:rPr>
          <w:rFonts w:ascii="Times New Roman" w:hAnsi="Times New Roman" w:cs="Times New Roman"/>
          <w:sz w:val="24"/>
        </w:rPr>
      </w:pPr>
    </w:p>
    <w:p w14:paraId="2123EF3E" w14:textId="77777777" w:rsidR="001D16A4" w:rsidRDefault="00E14D23"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The economic value potentials of the two locations were investigated, explored, and a comparison made of their availability status to ascertain their degree of importance to determine decline in environmental goods and services as well as livelihood in the area which we</w:t>
      </w:r>
      <w:r w:rsidR="00CF0E98">
        <w:rPr>
          <w:rFonts w:ascii="Times New Roman" w:hAnsi="Times New Roman" w:cs="Times New Roman"/>
          <w:sz w:val="24"/>
        </w:rPr>
        <w:t>re explained in qualitative data</w:t>
      </w:r>
      <w:r>
        <w:rPr>
          <w:rFonts w:ascii="Times New Roman" w:hAnsi="Times New Roman" w:cs="Times New Roman"/>
          <w:sz w:val="24"/>
        </w:rPr>
        <w:t xml:space="preserve"> to</w:t>
      </w:r>
      <w:r w:rsidR="00CF0E98">
        <w:rPr>
          <w:rFonts w:ascii="Times New Roman" w:hAnsi="Times New Roman" w:cs="Times New Roman"/>
          <w:sz w:val="24"/>
        </w:rPr>
        <w:t xml:space="preserve"> bee as</w:t>
      </w:r>
      <w:r>
        <w:rPr>
          <w:rFonts w:ascii="Times New Roman" w:hAnsi="Times New Roman" w:cs="Times New Roman"/>
          <w:sz w:val="24"/>
        </w:rPr>
        <w:t xml:space="preserve"> a result of several factors, most of which are anthropogenic. This is as presented in Table 2: </w:t>
      </w:r>
    </w:p>
    <w:p w14:paraId="7A9DD185" w14:textId="77777777" w:rsidR="002B6075" w:rsidRDefault="002B6075" w:rsidP="008E1B14">
      <w:pPr>
        <w:pStyle w:val="ListParagraph"/>
        <w:spacing w:line="240" w:lineRule="auto"/>
        <w:ind w:left="0"/>
        <w:jc w:val="both"/>
        <w:rPr>
          <w:rFonts w:ascii="Times New Roman" w:hAnsi="Times New Roman" w:cs="Times New Roman"/>
          <w:sz w:val="24"/>
        </w:rPr>
      </w:pPr>
    </w:p>
    <w:p w14:paraId="137BDDC5" w14:textId="77777777" w:rsidR="00091E51" w:rsidRDefault="00E14D23" w:rsidP="00091E51">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Table 2</w:t>
      </w:r>
      <w:r w:rsidR="00091E51">
        <w:rPr>
          <w:rFonts w:ascii="Times New Roman" w:hAnsi="Times New Roman"/>
          <w:b/>
          <w:sz w:val="24"/>
          <w:szCs w:val="24"/>
        </w:rPr>
        <w:t>: Comparative Analysis of Degree of Importance of Economic Value Potential</w:t>
      </w:r>
    </w:p>
    <w:p w14:paraId="11F78B30" w14:textId="77777777" w:rsidR="00E14D23" w:rsidRDefault="00E14D23" w:rsidP="00091E51">
      <w:pPr>
        <w:autoSpaceDE w:val="0"/>
        <w:autoSpaceDN w:val="0"/>
        <w:adjustRightInd w:val="0"/>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1435"/>
        <w:gridCol w:w="1176"/>
        <w:gridCol w:w="1276"/>
        <w:gridCol w:w="996"/>
        <w:gridCol w:w="1116"/>
        <w:gridCol w:w="1188"/>
        <w:gridCol w:w="1651"/>
        <w:gridCol w:w="284"/>
      </w:tblGrid>
      <w:tr w:rsidR="00091E51" w14:paraId="44C9E749" w14:textId="77777777" w:rsidTr="00483F35">
        <w:trPr>
          <w:trHeight w:val="600"/>
        </w:trPr>
        <w:tc>
          <w:tcPr>
            <w:tcW w:w="1435" w:type="dxa"/>
            <w:vMerge w:val="restart"/>
            <w:tcBorders>
              <w:top w:val="single" w:sz="4" w:space="0" w:color="auto"/>
              <w:left w:val="nil"/>
              <w:bottom w:val="nil"/>
              <w:right w:val="nil"/>
            </w:tcBorders>
          </w:tcPr>
          <w:p w14:paraId="60A361E3" w14:textId="77777777" w:rsidR="00091E51" w:rsidRDefault="00091E51"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Economic Value Potentials</w:t>
            </w:r>
          </w:p>
          <w:p w14:paraId="76EF3D2B" w14:textId="77777777" w:rsidR="00091E51" w:rsidRPr="001825C7" w:rsidRDefault="00091E51" w:rsidP="00483F35">
            <w:pPr>
              <w:autoSpaceDE w:val="0"/>
              <w:autoSpaceDN w:val="0"/>
              <w:adjustRightInd w:val="0"/>
              <w:jc w:val="center"/>
              <w:rPr>
                <w:rFonts w:ascii="Times New Roman" w:hAnsi="Times New Roman"/>
                <w:b/>
                <w:sz w:val="24"/>
                <w:szCs w:val="24"/>
              </w:rPr>
            </w:pPr>
          </w:p>
        </w:tc>
        <w:tc>
          <w:tcPr>
            <w:tcW w:w="2452" w:type="dxa"/>
            <w:gridSpan w:val="2"/>
            <w:tcBorders>
              <w:top w:val="single" w:sz="4" w:space="0" w:color="auto"/>
              <w:left w:val="nil"/>
              <w:bottom w:val="nil"/>
              <w:right w:val="nil"/>
            </w:tcBorders>
          </w:tcPr>
          <w:p w14:paraId="530A968D" w14:textId="77777777" w:rsidR="00091E51" w:rsidRPr="00A22AED" w:rsidRDefault="00091E51"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Degree of Ins</w:t>
            </w:r>
            <w:r w:rsidRPr="00A22AED">
              <w:rPr>
                <w:rFonts w:ascii="Times New Roman" w:hAnsi="Times New Roman"/>
                <w:b/>
                <w:sz w:val="24"/>
                <w:szCs w:val="24"/>
              </w:rPr>
              <w:t>ignificance</w:t>
            </w:r>
          </w:p>
        </w:tc>
        <w:tc>
          <w:tcPr>
            <w:tcW w:w="2112" w:type="dxa"/>
            <w:gridSpan w:val="2"/>
            <w:tcBorders>
              <w:top w:val="single" w:sz="4" w:space="0" w:color="auto"/>
              <w:left w:val="nil"/>
              <w:bottom w:val="nil"/>
              <w:right w:val="nil"/>
            </w:tcBorders>
          </w:tcPr>
          <w:p w14:paraId="583E89D8" w14:textId="77777777" w:rsidR="00091E51" w:rsidRPr="000E4DDA" w:rsidRDefault="00091E51" w:rsidP="00483F35">
            <w:pPr>
              <w:autoSpaceDE w:val="0"/>
              <w:autoSpaceDN w:val="0"/>
              <w:adjustRightInd w:val="0"/>
              <w:jc w:val="center"/>
              <w:rPr>
                <w:rFonts w:ascii="Times New Roman" w:hAnsi="Times New Roman"/>
                <w:b/>
                <w:sz w:val="24"/>
                <w:szCs w:val="24"/>
              </w:rPr>
            </w:pPr>
            <w:r w:rsidRPr="000E4DDA">
              <w:rPr>
                <w:rFonts w:ascii="Times New Roman" w:hAnsi="Times New Roman"/>
                <w:b/>
                <w:sz w:val="24"/>
                <w:szCs w:val="24"/>
              </w:rPr>
              <w:t>Degree of Significance</w:t>
            </w:r>
          </w:p>
        </w:tc>
        <w:tc>
          <w:tcPr>
            <w:tcW w:w="1188" w:type="dxa"/>
            <w:tcBorders>
              <w:top w:val="single" w:sz="4" w:space="0" w:color="auto"/>
              <w:left w:val="nil"/>
              <w:bottom w:val="nil"/>
              <w:right w:val="nil"/>
            </w:tcBorders>
          </w:tcPr>
          <w:p w14:paraId="723B0F83" w14:textId="77777777" w:rsidR="00091E51" w:rsidRPr="00922119" w:rsidRDefault="00091E51" w:rsidP="00483F35">
            <w:pPr>
              <w:autoSpaceDE w:val="0"/>
              <w:autoSpaceDN w:val="0"/>
              <w:adjustRightInd w:val="0"/>
              <w:jc w:val="center"/>
              <w:rPr>
                <w:rFonts w:ascii="Times New Roman" w:hAnsi="Times New Roman"/>
                <w:b/>
                <w:sz w:val="24"/>
                <w:szCs w:val="24"/>
              </w:rPr>
            </w:pPr>
            <w:r w:rsidRPr="00922119">
              <w:rPr>
                <w:rFonts w:ascii="Times New Roman" w:hAnsi="Times New Roman"/>
                <w:b/>
                <w:sz w:val="24"/>
                <w:szCs w:val="24"/>
              </w:rPr>
              <w:t>RRI Ranking</w:t>
            </w:r>
          </w:p>
        </w:tc>
        <w:tc>
          <w:tcPr>
            <w:tcW w:w="1651" w:type="dxa"/>
            <w:tcBorders>
              <w:top w:val="single" w:sz="4" w:space="0" w:color="auto"/>
              <w:left w:val="nil"/>
              <w:bottom w:val="nil"/>
              <w:right w:val="nil"/>
            </w:tcBorders>
          </w:tcPr>
          <w:p w14:paraId="5ECF11F1" w14:textId="77777777" w:rsidR="00091E51" w:rsidRPr="00922119" w:rsidRDefault="00091E51" w:rsidP="00483F35">
            <w:pPr>
              <w:autoSpaceDE w:val="0"/>
              <w:autoSpaceDN w:val="0"/>
              <w:adjustRightInd w:val="0"/>
              <w:jc w:val="center"/>
              <w:rPr>
                <w:rFonts w:ascii="Times New Roman" w:hAnsi="Times New Roman"/>
                <w:b/>
                <w:sz w:val="24"/>
                <w:szCs w:val="24"/>
              </w:rPr>
            </w:pPr>
            <w:r w:rsidRPr="00922119">
              <w:rPr>
                <w:rFonts w:ascii="Times New Roman" w:hAnsi="Times New Roman"/>
                <w:b/>
                <w:sz w:val="24"/>
                <w:szCs w:val="24"/>
              </w:rPr>
              <w:t>Remarks</w:t>
            </w:r>
          </w:p>
        </w:tc>
        <w:tc>
          <w:tcPr>
            <w:tcW w:w="284" w:type="dxa"/>
            <w:vMerge w:val="restart"/>
            <w:tcBorders>
              <w:top w:val="nil"/>
              <w:left w:val="nil"/>
              <w:right w:val="nil"/>
            </w:tcBorders>
          </w:tcPr>
          <w:p w14:paraId="48F04668" w14:textId="77777777" w:rsidR="00091E51" w:rsidRDefault="00091E51" w:rsidP="00483F35">
            <w:pPr>
              <w:autoSpaceDE w:val="0"/>
              <w:autoSpaceDN w:val="0"/>
              <w:adjustRightInd w:val="0"/>
              <w:jc w:val="both"/>
              <w:rPr>
                <w:rFonts w:ascii="Times New Roman" w:hAnsi="Times New Roman"/>
                <w:sz w:val="24"/>
                <w:szCs w:val="24"/>
              </w:rPr>
            </w:pPr>
          </w:p>
        </w:tc>
      </w:tr>
      <w:tr w:rsidR="00091E51" w14:paraId="561CFCA4" w14:textId="77777777" w:rsidTr="00483F35">
        <w:trPr>
          <w:trHeight w:val="210"/>
        </w:trPr>
        <w:tc>
          <w:tcPr>
            <w:tcW w:w="1435" w:type="dxa"/>
            <w:vMerge/>
            <w:tcBorders>
              <w:top w:val="nil"/>
              <w:left w:val="nil"/>
              <w:bottom w:val="single" w:sz="4" w:space="0" w:color="auto"/>
              <w:right w:val="nil"/>
            </w:tcBorders>
          </w:tcPr>
          <w:p w14:paraId="10BABDC1" w14:textId="77777777" w:rsidR="00091E51" w:rsidRDefault="00091E51" w:rsidP="00483F35">
            <w:pPr>
              <w:autoSpaceDE w:val="0"/>
              <w:autoSpaceDN w:val="0"/>
              <w:adjustRightInd w:val="0"/>
              <w:jc w:val="center"/>
              <w:rPr>
                <w:rFonts w:ascii="Times New Roman" w:hAnsi="Times New Roman"/>
                <w:b/>
                <w:sz w:val="24"/>
                <w:szCs w:val="24"/>
              </w:rPr>
            </w:pPr>
          </w:p>
        </w:tc>
        <w:tc>
          <w:tcPr>
            <w:tcW w:w="1176" w:type="dxa"/>
            <w:tcBorders>
              <w:top w:val="nil"/>
              <w:left w:val="nil"/>
              <w:bottom w:val="single" w:sz="4" w:space="0" w:color="auto"/>
              <w:right w:val="nil"/>
            </w:tcBorders>
          </w:tcPr>
          <w:p w14:paraId="670E4D9B" w14:textId="77777777" w:rsidR="00091E51" w:rsidRDefault="00091E51"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Rivers</w:t>
            </w:r>
          </w:p>
        </w:tc>
        <w:tc>
          <w:tcPr>
            <w:tcW w:w="1276" w:type="dxa"/>
            <w:tcBorders>
              <w:top w:val="nil"/>
              <w:left w:val="nil"/>
              <w:bottom w:val="single" w:sz="4" w:space="0" w:color="auto"/>
              <w:right w:val="nil"/>
            </w:tcBorders>
          </w:tcPr>
          <w:p w14:paraId="2AC431DD" w14:textId="77777777" w:rsidR="00091E51" w:rsidRDefault="00091E51"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Bayelsa</w:t>
            </w:r>
          </w:p>
        </w:tc>
        <w:tc>
          <w:tcPr>
            <w:tcW w:w="996" w:type="dxa"/>
            <w:tcBorders>
              <w:top w:val="nil"/>
              <w:left w:val="nil"/>
              <w:bottom w:val="single" w:sz="4" w:space="0" w:color="auto"/>
              <w:right w:val="nil"/>
            </w:tcBorders>
          </w:tcPr>
          <w:p w14:paraId="43B9BD1B" w14:textId="77777777" w:rsidR="00091E51" w:rsidRPr="000E4DDA" w:rsidRDefault="00091E51"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Rivers </w:t>
            </w:r>
          </w:p>
        </w:tc>
        <w:tc>
          <w:tcPr>
            <w:tcW w:w="1116" w:type="dxa"/>
            <w:tcBorders>
              <w:top w:val="nil"/>
              <w:left w:val="nil"/>
              <w:bottom w:val="single" w:sz="4" w:space="0" w:color="auto"/>
              <w:right w:val="nil"/>
            </w:tcBorders>
          </w:tcPr>
          <w:p w14:paraId="47989C22" w14:textId="77777777" w:rsidR="00091E51" w:rsidRPr="000E4DDA" w:rsidRDefault="00091E51"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Bayelsa</w:t>
            </w:r>
          </w:p>
        </w:tc>
        <w:tc>
          <w:tcPr>
            <w:tcW w:w="1188" w:type="dxa"/>
            <w:tcBorders>
              <w:top w:val="nil"/>
              <w:left w:val="nil"/>
              <w:bottom w:val="single" w:sz="4" w:space="0" w:color="auto"/>
              <w:right w:val="nil"/>
            </w:tcBorders>
          </w:tcPr>
          <w:p w14:paraId="44AAB0B3" w14:textId="77777777" w:rsidR="00091E51" w:rsidRDefault="00091E51" w:rsidP="00483F35">
            <w:pPr>
              <w:autoSpaceDE w:val="0"/>
              <w:autoSpaceDN w:val="0"/>
              <w:adjustRightInd w:val="0"/>
              <w:jc w:val="both"/>
              <w:rPr>
                <w:rFonts w:ascii="Times New Roman" w:hAnsi="Times New Roman"/>
                <w:sz w:val="24"/>
                <w:szCs w:val="24"/>
              </w:rPr>
            </w:pPr>
          </w:p>
        </w:tc>
        <w:tc>
          <w:tcPr>
            <w:tcW w:w="1651" w:type="dxa"/>
            <w:tcBorders>
              <w:top w:val="nil"/>
              <w:left w:val="nil"/>
              <w:bottom w:val="single" w:sz="4" w:space="0" w:color="auto"/>
              <w:right w:val="nil"/>
            </w:tcBorders>
          </w:tcPr>
          <w:p w14:paraId="63498F87" w14:textId="77777777" w:rsidR="00091E51" w:rsidRDefault="00091E51" w:rsidP="00483F35">
            <w:pPr>
              <w:autoSpaceDE w:val="0"/>
              <w:autoSpaceDN w:val="0"/>
              <w:adjustRightInd w:val="0"/>
              <w:jc w:val="both"/>
              <w:rPr>
                <w:rFonts w:ascii="Times New Roman" w:hAnsi="Times New Roman"/>
                <w:sz w:val="24"/>
                <w:szCs w:val="24"/>
              </w:rPr>
            </w:pPr>
          </w:p>
        </w:tc>
        <w:tc>
          <w:tcPr>
            <w:tcW w:w="284" w:type="dxa"/>
            <w:vMerge/>
            <w:tcBorders>
              <w:left w:val="nil"/>
              <w:right w:val="nil"/>
            </w:tcBorders>
          </w:tcPr>
          <w:p w14:paraId="18141958" w14:textId="77777777" w:rsidR="00091E51" w:rsidRDefault="00091E51" w:rsidP="00483F35">
            <w:pPr>
              <w:autoSpaceDE w:val="0"/>
              <w:autoSpaceDN w:val="0"/>
              <w:adjustRightInd w:val="0"/>
              <w:jc w:val="both"/>
              <w:rPr>
                <w:rFonts w:ascii="Times New Roman" w:hAnsi="Times New Roman"/>
                <w:sz w:val="24"/>
                <w:szCs w:val="24"/>
              </w:rPr>
            </w:pPr>
          </w:p>
        </w:tc>
      </w:tr>
      <w:tr w:rsidR="00091E51" w14:paraId="547BB798" w14:textId="77777777" w:rsidTr="00483F35">
        <w:tc>
          <w:tcPr>
            <w:tcW w:w="1435" w:type="dxa"/>
            <w:tcBorders>
              <w:top w:val="single" w:sz="4" w:space="0" w:color="auto"/>
              <w:left w:val="nil"/>
              <w:bottom w:val="nil"/>
              <w:right w:val="nil"/>
            </w:tcBorders>
          </w:tcPr>
          <w:p w14:paraId="3114F7D8"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Aquaculture </w:t>
            </w:r>
          </w:p>
        </w:tc>
        <w:tc>
          <w:tcPr>
            <w:tcW w:w="1176" w:type="dxa"/>
            <w:tcBorders>
              <w:top w:val="single" w:sz="4" w:space="0" w:color="auto"/>
              <w:left w:val="nil"/>
              <w:bottom w:val="nil"/>
              <w:right w:val="nil"/>
            </w:tcBorders>
          </w:tcPr>
          <w:p w14:paraId="0C74F243"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139(41%)</w:t>
            </w:r>
          </w:p>
        </w:tc>
        <w:tc>
          <w:tcPr>
            <w:tcW w:w="1276" w:type="dxa"/>
            <w:tcBorders>
              <w:top w:val="single" w:sz="4" w:space="0" w:color="auto"/>
              <w:left w:val="nil"/>
              <w:bottom w:val="nil"/>
              <w:right w:val="nil"/>
            </w:tcBorders>
          </w:tcPr>
          <w:p w14:paraId="7D7EB12E"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130(38.6%</w:t>
            </w:r>
          </w:p>
        </w:tc>
        <w:tc>
          <w:tcPr>
            <w:tcW w:w="996" w:type="dxa"/>
            <w:tcBorders>
              <w:top w:val="single" w:sz="4" w:space="0" w:color="auto"/>
              <w:left w:val="nil"/>
              <w:bottom w:val="nil"/>
              <w:right w:val="nil"/>
            </w:tcBorders>
          </w:tcPr>
          <w:p w14:paraId="00601E70"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Nil</w:t>
            </w:r>
          </w:p>
        </w:tc>
        <w:tc>
          <w:tcPr>
            <w:tcW w:w="1116" w:type="dxa"/>
            <w:tcBorders>
              <w:top w:val="single" w:sz="4" w:space="0" w:color="auto"/>
              <w:left w:val="nil"/>
              <w:bottom w:val="nil"/>
              <w:right w:val="nil"/>
            </w:tcBorders>
          </w:tcPr>
          <w:p w14:paraId="027C5162"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26</w:t>
            </w:r>
            <w:r w:rsidRPr="00766771">
              <w:rPr>
                <w:rFonts w:ascii="Times New Roman" w:hAnsi="Times New Roman"/>
                <w:sz w:val="24"/>
                <w:szCs w:val="24"/>
                <w:highlight w:val="yellow"/>
              </w:rPr>
              <w:t>(7.7%)</w:t>
            </w:r>
          </w:p>
        </w:tc>
        <w:tc>
          <w:tcPr>
            <w:tcW w:w="1188" w:type="dxa"/>
            <w:tcBorders>
              <w:top w:val="single" w:sz="4" w:space="0" w:color="auto"/>
              <w:left w:val="nil"/>
              <w:bottom w:val="nil"/>
              <w:right w:val="nil"/>
            </w:tcBorders>
          </w:tcPr>
          <w:p w14:paraId="764AD3E6"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9</w:t>
            </w:r>
            <w:r w:rsidRPr="00971334">
              <w:rPr>
                <w:rFonts w:ascii="Times New Roman" w:hAnsi="Times New Roman"/>
                <w:sz w:val="24"/>
                <w:szCs w:val="24"/>
                <w:vertAlign w:val="superscript"/>
              </w:rPr>
              <w:t>th</w:t>
            </w:r>
            <w:r>
              <w:rPr>
                <w:rFonts w:ascii="Times New Roman" w:hAnsi="Times New Roman"/>
                <w:sz w:val="24"/>
                <w:szCs w:val="24"/>
              </w:rPr>
              <w:t xml:space="preserve"> </w:t>
            </w:r>
          </w:p>
        </w:tc>
        <w:tc>
          <w:tcPr>
            <w:tcW w:w="1651" w:type="dxa"/>
            <w:tcBorders>
              <w:top w:val="single" w:sz="4" w:space="0" w:color="auto"/>
              <w:left w:val="nil"/>
              <w:bottom w:val="nil"/>
              <w:right w:val="nil"/>
            </w:tcBorders>
          </w:tcPr>
          <w:p w14:paraId="2FB008B8"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42(13%) responses were neutral</w:t>
            </w:r>
          </w:p>
        </w:tc>
        <w:tc>
          <w:tcPr>
            <w:tcW w:w="284" w:type="dxa"/>
            <w:vMerge/>
            <w:tcBorders>
              <w:left w:val="nil"/>
              <w:right w:val="nil"/>
            </w:tcBorders>
          </w:tcPr>
          <w:p w14:paraId="0F4B3D4F"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5DDF6A7F" w14:textId="77777777" w:rsidTr="00483F35">
        <w:tc>
          <w:tcPr>
            <w:tcW w:w="1435" w:type="dxa"/>
            <w:tcBorders>
              <w:top w:val="nil"/>
              <w:left w:val="nil"/>
              <w:bottom w:val="nil"/>
              <w:right w:val="nil"/>
            </w:tcBorders>
          </w:tcPr>
          <w:p w14:paraId="293F2F64"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Fishing </w:t>
            </w:r>
          </w:p>
        </w:tc>
        <w:tc>
          <w:tcPr>
            <w:tcW w:w="1176" w:type="dxa"/>
            <w:tcBorders>
              <w:top w:val="nil"/>
              <w:left w:val="nil"/>
              <w:bottom w:val="nil"/>
              <w:right w:val="nil"/>
            </w:tcBorders>
          </w:tcPr>
          <w:p w14:paraId="7809DBC0"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2D405F72"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996" w:type="dxa"/>
            <w:tcBorders>
              <w:top w:val="nil"/>
              <w:left w:val="nil"/>
              <w:bottom w:val="nil"/>
              <w:right w:val="nil"/>
            </w:tcBorders>
          </w:tcPr>
          <w:p w14:paraId="199A5449"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156</w:t>
            </w:r>
          </w:p>
          <w:p w14:paraId="50A02D04"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(46.3%)</w:t>
            </w:r>
          </w:p>
        </w:tc>
        <w:tc>
          <w:tcPr>
            <w:tcW w:w="1116" w:type="dxa"/>
            <w:tcBorders>
              <w:top w:val="nil"/>
              <w:left w:val="nil"/>
              <w:bottom w:val="nil"/>
              <w:right w:val="nil"/>
            </w:tcBorders>
          </w:tcPr>
          <w:p w14:paraId="2BEBCAA5"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181</w:t>
            </w:r>
          </w:p>
          <w:p w14:paraId="0FC9EDC4"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(53.7%)</w:t>
            </w:r>
          </w:p>
        </w:tc>
        <w:tc>
          <w:tcPr>
            <w:tcW w:w="1188" w:type="dxa"/>
            <w:tcBorders>
              <w:top w:val="nil"/>
              <w:left w:val="nil"/>
              <w:bottom w:val="nil"/>
              <w:right w:val="nil"/>
            </w:tcBorders>
          </w:tcPr>
          <w:p w14:paraId="50B3392A"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w:t>
            </w:r>
            <w:r w:rsidRPr="00514591">
              <w:rPr>
                <w:rFonts w:ascii="Times New Roman" w:hAnsi="Times New Roman"/>
                <w:sz w:val="24"/>
                <w:szCs w:val="24"/>
                <w:vertAlign w:val="superscript"/>
              </w:rPr>
              <w:t>st</w:t>
            </w:r>
            <w:r>
              <w:rPr>
                <w:rFonts w:ascii="Times New Roman" w:hAnsi="Times New Roman"/>
                <w:sz w:val="24"/>
                <w:szCs w:val="24"/>
              </w:rPr>
              <w:t xml:space="preserve"> </w:t>
            </w:r>
          </w:p>
        </w:tc>
        <w:tc>
          <w:tcPr>
            <w:tcW w:w="1651" w:type="dxa"/>
            <w:tcBorders>
              <w:top w:val="nil"/>
              <w:left w:val="nil"/>
              <w:bottom w:val="nil"/>
              <w:right w:val="nil"/>
            </w:tcBorders>
          </w:tcPr>
          <w:p w14:paraId="06A4EC9C"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c>
          <w:tcPr>
            <w:tcW w:w="284" w:type="dxa"/>
            <w:vMerge/>
            <w:tcBorders>
              <w:left w:val="nil"/>
              <w:right w:val="nil"/>
            </w:tcBorders>
          </w:tcPr>
          <w:p w14:paraId="0015C2D1"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62BE1E2A" w14:textId="77777777" w:rsidTr="00483F35">
        <w:tc>
          <w:tcPr>
            <w:tcW w:w="1435" w:type="dxa"/>
            <w:tcBorders>
              <w:top w:val="nil"/>
              <w:left w:val="nil"/>
              <w:bottom w:val="nil"/>
              <w:right w:val="nil"/>
            </w:tcBorders>
          </w:tcPr>
          <w:p w14:paraId="5F05682C"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Logging </w:t>
            </w:r>
          </w:p>
        </w:tc>
        <w:tc>
          <w:tcPr>
            <w:tcW w:w="1176" w:type="dxa"/>
            <w:tcBorders>
              <w:top w:val="nil"/>
              <w:left w:val="nil"/>
              <w:bottom w:val="nil"/>
              <w:right w:val="nil"/>
            </w:tcBorders>
          </w:tcPr>
          <w:p w14:paraId="6D7A45E2"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06D7F082"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996" w:type="dxa"/>
            <w:tcBorders>
              <w:top w:val="nil"/>
              <w:left w:val="nil"/>
              <w:bottom w:val="nil"/>
              <w:right w:val="nil"/>
            </w:tcBorders>
          </w:tcPr>
          <w:p w14:paraId="25325304"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156</w:t>
            </w:r>
          </w:p>
          <w:p w14:paraId="16A7853D"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(46.3%)</w:t>
            </w:r>
          </w:p>
        </w:tc>
        <w:tc>
          <w:tcPr>
            <w:tcW w:w="1116" w:type="dxa"/>
            <w:tcBorders>
              <w:top w:val="nil"/>
              <w:left w:val="nil"/>
              <w:bottom w:val="nil"/>
              <w:right w:val="nil"/>
            </w:tcBorders>
          </w:tcPr>
          <w:p w14:paraId="33AF4542"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168</w:t>
            </w:r>
          </w:p>
          <w:p w14:paraId="6600D57B"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(50%)</w:t>
            </w:r>
          </w:p>
        </w:tc>
        <w:tc>
          <w:tcPr>
            <w:tcW w:w="1188" w:type="dxa"/>
            <w:tcBorders>
              <w:top w:val="nil"/>
              <w:left w:val="nil"/>
              <w:bottom w:val="nil"/>
              <w:right w:val="nil"/>
            </w:tcBorders>
          </w:tcPr>
          <w:p w14:paraId="490ACE16"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7</w:t>
            </w:r>
            <w:r w:rsidRPr="003F3D57">
              <w:rPr>
                <w:rFonts w:ascii="Times New Roman" w:hAnsi="Times New Roman"/>
                <w:sz w:val="24"/>
                <w:szCs w:val="24"/>
                <w:vertAlign w:val="superscript"/>
              </w:rPr>
              <w:t>th</w:t>
            </w:r>
            <w:r>
              <w:rPr>
                <w:rFonts w:ascii="Times New Roman" w:hAnsi="Times New Roman"/>
                <w:sz w:val="24"/>
                <w:szCs w:val="24"/>
              </w:rPr>
              <w:t xml:space="preserve"> </w:t>
            </w:r>
          </w:p>
        </w:tc>
        <w:tc>
          <w:tcPr>
            <w:tcW w:w="1651" w:type="dxa"/>
            <w:tcBorders>
              <w:top w:val="nil"/>
              <w:left w:val="nil"/>
              <w:bottom w:val="nil"/>
              <w:right w:val="nil"/>
            </w:tcBorders>
          </w:tcPr>
          <w:p w14:paraId="3E910C3E"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13(3.9%) responses were neutral</w:t>
            </w:r>
          </w:p>
        </w:tc>
        <w:tc>
          <w:tcPr>
            <w:tcW w:w="284" w:type="dxa"/>
            <w:vMerge/>
            <w:tcBorders>
              <w:left w:val="nil"/>
              <w:right w:val="nil"/>
            </w:tcBorders>
          </w:tcPr>
          <w:p w14:paraId="5D8F6FBA"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4AE1AFD1" w14:textId="77777777" w:rsidTr="00483F35">
        <w:tc>
          <w:tcPr>
            <w:tcW w:w="1435" w:type="dxa"/>
            <w:tcBorders>
              <w:top w:val="nil"/>
              <w:left w:val="nil"/>
              <w:bottom w:val="nil"/>
              <w:right w:val="nil"/>
            </w:tcBorders>
          </w:tcPr>
          <w:p w14:paraId="32982B2B"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Haunting Amenity</w:t>
            </w:r>
          </w:p>
        </w:tc>
        <w:tc>
          <w:tcPr>
            <w:tcW w:w="1176" w:type="dxa"/>
            <w:tcBorders>
              <w:top w:val="nil"/>
              <w:left w:val="nil"/>
              <w:bottom w:val="nil"/>
              <w:right w:val="nil"/>
            </w:tcBorders>
          </w:tcPr>
          <w:p w14:paraId="12BCD868"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71C6C1B4"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6" w:type="dxa"/>
            <w:tcBorders>
              <w:top w:val="nil"/>
              <w:left w:val="nil"/>
              <w:bottom w:val="nil"/>
              <w:right w:val="nil"/>
            </w:tcBorders>
          </w:tcPr>
          <w:p w14:paraId="710211DF"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156</w:t>
            </w:r>
          </w:p>
          <w:p w14:paraId="77747F09"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(46.3%)</w:t>
            </w:r>
          </w:p>
        </w:tc>
        <w:tc>
          <w:tcPr>
            <w:tcW w:w="1116" w:type="dxa"/>
            <w:tcBorders>
              <w:top w:val="nil"/>
              <w:left w:val="nil"/>
              <w:bottom w:val="nil"/>
              <w:right w:val="nil"/>
            </w:tcBorders>
          </w:tcPr>
          <w:p w14:paraId="4B3A732E"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181</w:t>
            </w:r>
          </w:p>
          <w:p w14:paraId="1C618FBE"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(53.7%)</w:t>
            </w:r>
          </w:p>
          <w:p w14:paraId="65D4324E" w14:textId="77777777" w:rsidR="00CB1417" w:rsidRDefault="00CB1417" w:rsidP="00483F35">
            <w:pPr>
              <w:autoSpaceDE w:val="0"/>
              <w:autoSpaceDN w:val="0"/>
              <w:adjustRightInd w:val="0"/>
              <w:jc w:val="center"/>
              <w:rPr>
                <w:rFonts w:ascii="Times New Roman" w:hAnsi="Times New Roman"/>
                <w:sz w:val="24"/>
                <w:szCs w:val="24"/>
              </w:rPr>
            </w:pPr>
          </w:p>
        </w:tc>
        <w:tc>
          <w:tcPr>
            <w:tcW w:w="1188" w:type="dxa"/>
            <w:tcBorders>
              <w:top w:val="nil"/>
              <w:left w:val="nil"/>
              <w:bottom w:val="nil"/>
              <w:right w:val="nil"/>
            </w:tcBorders>
          </w:tcPr>
          <w:p w14:paraId="189AC2B7"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2</w:t>
            </w:r>
            <w:r w:rsidRPr="003F3D57">
              <w:rPr>
                <w:rFonts w:ascii="Times New Roman" w:hAnsi="Times New Roman"/>
                <w:sz w:val="24"/>
                <w:szCs w:val="24"/>
                <w:vertAlign w:val="superscript"/>
              </w:rPr>
              <w:t>nd</w:t>
            </w:r>
            <w:r>
              <w:rPr>
                <w:rFonts w:ascii="Times New Roman" w:hAnsi="Times New Roman"/>
                <w:sz w:val="24"/>
                <w:szCs w:val="24"/>
              </w:rPr>
              <w:t xml:space="preserve"> </w:t>
            </w:r>
          </w:p>
        </w:tc>
        <w:tc>
          <w:tcPr>
            <w:tcW w:w="1651" w:type="dxa"/>
            <w:tcBorders>
              <w:top w:val="nil"/>
              <w:left w:val="nil"/>
              <w:bottom w:val="nil"/>
              <w:right w:val="nil"/>
            </w:tcBorders>
          </w:tcPr>
          <w:p w14:paraId="042C9AEF" w14:textId="77777777" w:rsidR="00091E51" w:rsidRDefault="00091E51" w:rsidP="00483F35">
            <w:pPr>
              <w:autoSpaceDE w:val="0"/>
              <w:autoSpaceDN w:val="0"/>
              <w:adjustRightInd w:val="0"/>
              <w:jc w:val="both"/>
              <w:rPr>
                <w:rFonts w:ascii="Times New Roman" w:hAnsi="Times New Roman"/>
                <w:sz w:val="24"/>
                <w:szCs w:val="24"/>
              </w:rPr>
            </w:pPr>
          </w:p>
        </w:tc>
        <w:tc>
          <w:tcPr>
            <w:tcW w:w="284" w:type="dxa"/>
            <w:vMerge/>
            <w:tcBorders>
              <w:left w:val="nil"/>
              <w:right w:val="nil"/>
            </w:tcBorders>
          </w:tcPr>
          <w:p w14:paraId="3E407BFF"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608BF8DA" w14:textId="77777777" w:rsidTr="00483F35">
        <w:tc>
          <w:tcPr>
            <w:tcW w:w="1435" w:type="dxa"/>
            <w:tcBorders>
              <w:top w:val="nil"/>
              <w:left w:val="nil"/>
              <w:bottom w:val="nil"/>
              <w:right w:val="nil"/>
            </w:tcBorders>
          </w:tcPr>
          <w:p w14:paraId="4F22B805"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Local Crafts</w:t>
            </w:r>
          </w:p>
        </w:tc>
        <w:tc>
          <w:tcPr>
            <w:tcW w:w="1176" w:type="dxa"/>
            <w:tcBorders>
              <w:top w:val="nil"/>
              <w:left w:val="nil"/>
              <w:bottom w:val="nil"/>
              <w:right w:val="nil"/>
            </w:tcBorders>
          </w:tcPr>
          <w:p w14:paraId="01FA8285"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026DCE9C"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996" w:type="dxa"/>
            <w:tcBorders>
              <w:top w:val="nil"/>
              <w:left w:val="nil"/>
              <w:bottom w:val="nil"/>
              <w:right w:val="nil"/>
            </w:tcBorders>
          </w:tcPr>
          <w:p w14:paraId="499BE32E"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150</w:t>
            </w:r>
          </w:p>
          <w:p w14:paraId="7C674880"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(44.5%)</w:t>
            </w:r>
          </w:p>
        </w:tc>
        <w:tc>
          <w:tcPr>
            <w:tcW w:w="1116" w:type="dxa"/>
            <w:tcBorders>
              <w:top w:val="nil"/>
              <w:left w:val="nil"/>
              <w:bottom w:val="nil"/>
              <w:right w:val="nil"/>
            </w:tcBorders>
          </w:tcPr>
          <w:p w14:paraId="2155452C"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181</w:t>
            </w:r>
          </w:p>
          <w:p w14:paraId="5F4B6766"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(53.7%)</w:t>
            </w:r>
          </w:p>
        </w:tc>
        <w:tc>
          <w:tcPr>
            <w:tcW w:w="1188" w:type="dxa"/>
            <w:tcBorders>
              <w:top w:val="nil"/>
              <w:left w:val="nil"/>
              <w:bottom w:val="nil"/>
              <w:right w:val="nil"/>
            </w:tcBorders>
          </w:tcPr>
          <w:p w14:paraId="6ACA99A8"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4</w:t>
            </w:r>
            <w:r w:rsidRPr="00BA6B4F">
              <w:rPr>
                <w:rFonts w:ascii="Times New Roman" w:hAnsi="Times New Roman"/>
                <w:sz w:val="24"/>
                <w:szCs w:val="24"/>
                <w:vertAlign w:val="superscript"/>
              </w:rPr>
              <w:t>th</w:t>
            </w:r>
            <w:r>
              <w:rPr>
                <w:rFonts w:ascii="Times New Roman" w:hAnsi="Times New Roman"/>
                <w:sz w:val="24"/>
                <w:szCs w:val="24"/>
              </w:rPr>
              <w:t xml:space="preserve"> </w:t>
            </w:r>
          </w:p>
        </w:tc>
        <w:tc>
          <w:tcPr>
            <w:tcW w:w="1651" w:type="dxa"/>
            <w:tcBorders>
              <w:top w:val="nil"/>
              <w:left w:val="nil"/>
              <w:bottom w:val="nil"/>
              <w:right w:val="nil"/>
            </w:tcBorders>
          </w:tcPr>
          <w:p w14:paraId="7975A78E"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6(1.8%) responses were neutral</w:t>
            </w:r>
          </w:p>
        </w:tc>
        <w:tc>
          <w:tcPr>
            <w:tcW w:w="284" w:type="dxa"/>
            <w:vMerge/>
            <w:tcBorders>
              <w:left w:val="nil"/>
              <w:right w:val="nil"/>
            </w:tcBorders>
          </w:tcPr>
          <w:p w14:paraId="31A9F796"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63B7A440" w14:textId="77777777" w:rsidTr="00483F35">
        <w:tc>
          <w:tcPr>
            <w:tcW w:w="1435" w:type="dxa"/>
            <w:tcBorders>
              <w:top w:val="nil"/>
              <w:left w:val="nil"/>
              <w:bottom w:val="nil"/>
              <w:right w:val="nil"/>
            </w:tcBorders>
          </w:tcPr>
          <w:p w14:paraId="74D6A858" w14:textId="77777777" w:rsidR="00091E51" w:rsidRDefault="00091E51" w:rsidP="00483F3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Fuel wood</w:t>
            </w:r>
          </w:p>
        </w:tc>
        <w:tc>
          <w:tcPr>
            <w:tcW w:w="1176" w:type="dxa"/>
            <w:tcBorders>
              <w:top w:val="nil"/>
              <w:left w:val="nil"/>
              <w:bottom w:val="nil"/>
              <w:right w:val="nil"/>
            </w:tcBorders>
          </w:tcPr>
          <w:p w14:paraId="6A054069"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6684F381"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996" w:type="dxa"/>
            <w:tcBorders>
              <w:top w:val="nil"/>
              <w:left w:val="nil"/>
              <w:bottom w:val="nil"/>
              <w:right w:val="nil"/>
            </w:tcBorders>
          </w:tcPr>
          <w:p w14:paraId="157E8344"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150</w:t>
            </w:r>
          </w:p>
          <w:p w14:paraId="317E94A8"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(44.5%)</w:t>
            </w:r>
          </w:p>
        </w:tc>
        <w:tc>
          <w:tcPr>
            <w:tcW w:w="1116" w:type="dxa"/>
            <w:tcBorders>
              <w:top w:val="nil"/>
              <w:left w:val="nil"/>
              <w:bottom w:val="nil"/>
              <w:right w:val="nil"/>
            </w:tcBorders>
          </w:tcPr>
          <w:p w14:paraId="6019B969"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181</w:t>
            </w:r>
          </w:p>
          <w:p w14:paraId="55EADCD1"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(53.7%)</w:t>
            </w:r>
          </w:p>
        </w:tc>
        <w:tc>
          <w:tcPr>
            <w:tcW w:w="1188" w:type="dxa"/>
            <w:tcBorders>
              <w:top w:val="nil"/>
              <w:left w:val="nil"/>
              <w:bottom w:val="nil"/>
              <w:right w:val="nil"/>
            </w:tcBorders>
          </w:tcPr>
          <w:p w14:paraId="2E261871"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w:t>
            </w:r>
            <w:r w:rsidRPr="00623BAC">
              <w:rPr>
                <w:rFonts w:ascii="Times New Roman" w:hAnsi="Times New Roman"/>
                <w:sz w:val="24"/>
                <w:szCs w:val="24"/>
                <w:vertAlign w:val="superscript"/>
              </w:rPr>
              <w:t>st</w:t>
            </w:r>
            <w:r>
              <w:rPr>
                <w:rFonts w:ascii="Times New Roman" w:hAnsi="Times New Roman"/>
                <w:sz w:val="24"/>
                <w:szCs w:val="24"/>
              </w:rPr>
              <w:t xml:space="preserve"> </w:t>
            </w:r>
          </w:p>
        </w:tc>
        <w:tc>
          <w:tcPr>
            <w:tcW w:w="1651" w:type="dxa"/>
            <w:tcBorders>
              <w:top w:val="nil"/>
              <w:left w:val="nil"/>
              <w:bottom w:val="nil"/>
              <w:right w:val="nil"/>
            </w:tcBorders>
          </w:tcPr>
          <w:p w14:paraId="06846AB7"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6(1.8%) responses were neutral</w:t>
            </w:r>
          </w:p>
        </w:tc>
        <w:tc>
          <w:tcPr>
            <w:tcW w:w="284" w:type="dxa"/>
            <w:vMerge/>
            <w:tcBorders>
              <w:left w:val="nil"/>
              <w:right w:val="nil"/>
            </w:tcBorders>
          </w:tcPr>
          <w:p w14:paraId="20FEA2C8"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0AC778C0" w14:textId="77777777" w:rsidTr="00483F35">
        <w:trPr>
          <w:trHeight w:val="840"/>
        </w:trPr>
        <w:tc>
          <w:tcPr>
            <w:tcW w:w="1435" w:type="dxa"/>
            <w:tcBorders>
              <w:top w:val="nil"/>
              <w:left w:val="nil"/>
              <w:bottom w:val="nil"/>
              <w:right w:val="nil"/>
            </w:tcBorders>
          </w:tcPr>
          <w:p w14:paraId="1725240A"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Building materials</w:t>
            </w:r>
          </w:p>
        </w:tc>
        <w:tc>
          <w:tcPr>
            <w:tcW w:w="1176" w:type="dxa"/>
            <w:tcBorders>
              <w:top w:val="nil"/>
              <w:left w:val="nil"/>
              <w:bottom w:val="nil"/>
              <w:right w:val="nil"/>
            </w:tcBorders>
          </w:tcPr>
          <w:p w14:paraId="06E43F9F"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7D695BC6"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6" w:type="dxa"/>
            <w:tcBorders>
              <w:top w:val="nil"/>
              <w:left w:val="nil"/>
              <w:bottom w:val="nil"/>
              <w:right w:val="nil"/>
            </w:tcBorders>
          </w:tcPr>
          <w:p w14:paraId="4DF2B0CB"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134</w:t>
            </w:r>
          </w:p>
          <w:p w14:paraId="72752AF1"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(39.8%)</w:t>
            </w:r>
          </w:p>
        </w:tc>
        <w:tc>
          <w:tcPr>
            <w:tcW w:w="1116" w:type="dxa"/>
            <w:tcBorders>
              <w:top w:val="nil"/>
              <w:left w:val="nil"/>
              <w:bottom w:val="nil"/>
              <w:right w:val="nil"/>
            </w:tcBorders>
          </w:tcPr>
          <w:p w14:paraId="13FD5F88"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174</w:t>
            </w:r>
          </w:p>
          <w:p w14:paraId="7A46A12B"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(51.6%)</w:t>
            </w:r>
          </w:p>
        </w:tc>
        <w:tc>
          <w:tcPr>
            <w:tcW w:w="1188" w:type="dxa"/>
            <w:tcBorders>
              <w:top w:val="nil"/>
              <w:left w:val="nil"/>
              <w:bottom w:val="nil"/>
              <w:right w:val="nil"/>
            </w:tcBorders>
          </w:tcPr>
          <w:p w14:paraId="02A1FABE"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6</w:t>
            </w:r>
            <w:r w:rsidRPr="00F06CEE">
              <w:rPr>
                <w:rFonts w:ascii="Times New Roman" w:hAnsi="Times New Roman"/>
                <w:sz w:val="24"/>
                <w:szCs w:val="24"/>
                <w:vertAlign w:val="superscript"/>
              </w:rPr>
              <w:t>th</w:t>
            </w:r>
            <w:r>
              <w:rPr>
                <w:rFonts w:ascii="Times New Roman" w:hAnsi="Times New Roman"/>
                <w:sz w:val="24"/>
                <w:szCs w:val="24"/>
              </w:rPr>
              <w:t xml:space="preserve"> </w:t>
            </w:r>
          </w:p>
        </w:tc>
        <w:tc>
          <w:tcPr>
            <w:tcW w:w="1651" w:type="dxa"/>
            <w:tcBorders>
              <w:top w:val="nil"/>
              <w:left w:val="nil"/>
              <w:bottom w:val="nil"/>
              <w:right w:val="nil"/>
            </w:tcBorders>
          </w:tcPr>
          <w:p w14:paraId="1B1CF1EA"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29(8.6%) responses were neutral</w:t>
            </w:r>
          </w:p>
        </w:tc>
        <w:tc>
          <w:tcPr>
            <w:tcW w:w="284" w:type="dxa"/>
            <w:vMerge/>
            <w:tcBorders>
              <w:left w:val="nil"/>
              <w:right w:val="nil"/>
            </w:tcBorders>
          </w:tcPr>
          <w:p w14:paraId="40795BE7"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45D5F480" w14:textId="77777777" w:rsidTr="00483F35">
        <w:trPr>
          <w:trHeight w:val="249"/>
        </w:trPr>
        <w:tc>
          <w:tcPr>
            <w:tcW w:w="1435" w:type="dxa"/>
            <w:tcBorders>
              <w:top w:val="nil"/>
              <w:left w:val="nil"/>
              <w:bottom w:val="nil"/>
              <w:right w:val="nil"/>
            </w:tcBorders>
          </w:tcPr>
          <w:p w14:paraId="21700A56"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Shore Protection</w:t>
            </w:r>
          </w:p>
        </w:tc>
        <w:tc>
          <w:tcPr>
            <w:tcW w:w="1176" w:type="dxa"/>
            <w:tcBorders>
              <w:top w:val="nil"/>
              <w:left w:val="nil"/>
              <w:bottom w:val="nil"/>
              <w:right w:val="nil"/>
            </w:tcBorders>
          </w:tcPr>
          <w:p w14:paraId="62493BA3"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2E81D779"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6" w:type="dxa"/>
            <w:tcBorders>
              <w:top w:val="nil"/>
              <w:left w:val="nil"/>
              <w:bottom w:val="nil"/>
              <w:right w:val="nil"/>
            </w:tcBorders>
          </w:tcPr>
          <w:p w14:paraId="46340F14"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123 (36.5%)</w:t>
            </w:r>
          </w:p>
        </w:tc>
        <w:tc>
          <w:tcPr>
            <w:tcW w:w="1116" w:type="dxa"/>
            <w:tcBorders>
              <w:top w:val="nil"/>
              <w:left w:val="nil"/>
              <w:bottom w:val="nil"/>
              <w:right w:val="nil"/>
            </w:tcBorders>
          </w:tcPr>
          <w:p w14:paraId="56334F1A"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116 (34.4%)</w:t>
            </w:r>
          </w:p>
        </w:tc>
        <w:tc>
          <w:tcPr>
            <w:tcW w:w="1188" w:type="dxa"/>
            <w:tcBorders>
              <w:top w:val="nil"/>
              <w:left w:val="nil"/>
              <w:bottom w:val="nil"/>
              <w:right w:val="nil"/>
            </w:tcBorders>
          </w:tcPr>
          <w:p w14:paraId="096E7450"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5</w:t>
            </w:r>
            <w:r w:rsidRPr="00F06CEE">
              <w:rPr>
                <w:rFonts w:ascii="Times New Roman" w:hAnsi="Times New Roman"/>
                <w:sz w:val="24"/>
                <w:szCs w:val="24"/>
                <w:vertAlign w:val="superscript"/>
              </w:rPr>
              <w:t>th</w:t>
            </w:r>
            <w:r>
              <w:rPr>
                <w:rFonts w:ascii="Times New Roman" w:hAnsi="Times New Roman"/>
                <w:sz w:val="24"/>
                <w:szCs w:val="24"/>
              </w:rPr>
              <w:t xml:space="preserve"> </w:t>
            </w:r>
          </w:p>
        </w:tc>
        <w:tc>
          <w:tcPr>
            <w:tcW w:w="1651" w:type="dxa"/>
            <w:tcBorders>
              <w:top w:val="nil"/>
              <w:left w:val="nil"/>
              <w:bottom w:val="nil"/>
              <w:right w:val="nil"/>
            </w:tcBorders>
          </w:tcPr>
          <w:p w14:paraId="6D70C8B2" w14:textId="4544F64D" w:rsidR="00091E51" w:rsidRDefault="00766771" w:rsidP="00483F35">
            <w:pPr>
              <w:autoSpaceDE w:val="0"/>
              <w:autoSpaceDN w:val="0"/>
              <w:adjustRightInd w:val="0"/>
              <w:jc w:val="both"/>
              <w:rPr>
                <w:rFonts w:ascii="Times New Roman" w:hAnsi="Times New Roman"/>
                <w:sz w:val="24"/>
                <w:szCs w:val="24"/>
              </w:rPr>
            </w:pPr>
            <w:r w:rsidRPr="00766771">
              <w:rPr>
                <w:rFonts w:ascii="Times New Roman" w:hAnsi="Times New Roman"/>
                <w:sz w:val="24"/>
                <w:szCs w:val="24"/>
                <w:highlight w:val="yellow"/>
              </w:rPr>
              <w:t>98</w:t>
            </w:r>
            <w:r w:rsidR="00091E51" w:rsidRPr="00766771">
              <w:rPr>
                <w:rFonts w:ascii="Times New Roman" w:hAnsi="Times New Roman"/>
                <w:sz w:val="24"/>
                <w:szCs w:val="24"/>
                <w:highlight w:val="yellow"/>
              </w:rPr>
              <w:t>(29%)</w:t>
            </w:r>
            <w:r w:rsidR="00091E51">
              <w:rPr>
                <w:rFonts w:ascii="Times New Roman" w:hAnsi="Times New Roman"/>
                <w:sz w:val="24"/>
                <w:szCs w:val="24"/>
              </w:rPr>
              <w:t xml:space="preserve"> neutral</w:t>
            </w:r>
          </w:p>
        </w:tc>
        <w:tc>
          <w:tcPr>
            <w:tcW w:w="284" w:type="dxa"/>
            <w:vMerge/>
            <w:tcBorders>
              <w:left w:val="nil"/>
              <w:right w:val="nil"/>
            </w:tcBorders>
          </w:tcPr>
          <w:p w14:paraId="1AD0583E"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2725EB74" w14:textId="77777777" w:rsidTr="00483F35">
        <w:trPr>
          <w:trHeight w:val="237"/>
        </w:trPr>
        <w:tc>
          <w:tcPr>
            <w:tcW w:w="1435" w:type="dxa"/>
            <w:tcBorders>
              <w:top w:val="nil"/>
              <w:left w:val="nil"/>
              <w:bottom w:val="nil"/>
              <w:right w:val="nil"/>
            </w:tcBorders>
          </w:tcPr>
          <w:p w14:paraId="3C11B242"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Ecological benefits</w:t>
            </w:r>
          </w:p>
        </w:tc>
        <w:tc>
          <w:tcPr>
            <w:tcW w:w="1176" w:type="dxa"/>
            <w:tcBorders>
              <w:top w:val="nil"/>
              <w:left w:val="nil"/>
              <w:bottom w:val="nil"/>
              <w:right w:val="nil"/>
            </w:tcBorders>
          </w:tcPr>
          <w:p w14:paraId="0DF06D10"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1276" w:type="dxa"/>
            <w:tcBorders>
              <w:top w:val="nil"/>
              <w:left w:val="nil"/>
              <w:bottom w:val="nil"/>
              <w:right w:val="nil"/>
            </w:tcBorders>
          </w:tcPr>
          <w:p w14:paraId="5B94C58B"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7 </w:t>
            </w:r>
          </w:p>
          <w:p w14:paraId="756B5151"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(2.1%)</w:t>
            </w:r>
          </w:p>
        </w:tc>
        <w:tc>
          <w:tcPr>
            <w:tcW w:w="996" w:type="dxa"/>
            <w:tcBorders>
              <w:top w:val="nil"/>
              <w:left w:val="nil"/>
              <w:bottom w:val="nil"/>
              <w:right w:val="nil"/>
            </w:tcBorders>
          </w:tcPr>
          <w:p w14:paraId="311B78E1"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139 (41.2%)</w:t>
            </w:r>
          </w:p>
        </w:tc>
        <w:tc>
          <w:tcPr>
            <w:tcW w:w="1116" w:type="dxa"/>
            <w:tcBorders>
              <w:top w:val="nil"/>
              <w:left w:val="nil"/>
              <w:bottom w:val="nil"/>
              <w:right w:val="nil"/>
            </w:tcBorders>
          </w:tcPr>
          <w:p w14:paraId="05F90B4F"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129 (38.3%)</w:t>
            </w:r>
          </w:p>
        </w:tc>
        <w:tc>
          <w:tcPr>
            <w:tcW w:w="1188" w:type="dxa"/>
            <w:tcBorders>
              <w:top w:val="nil"/>
              <w:left w:val="nil"/>
              <w:bottom w:val="nil"/>
              <w:right w:val="nil"/>
            </w:tcBorders>
          </w:tcPr>
          <w:p w14:paraId="3E3398B0" w14:textId="77777777" w:rsidR="00091E51" w:rsidRDefault="00091E51"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w:t>
            </w:r>
            <w:r w:rsidRPr="00BE64A1">
              <w:rPr>
                <w:rFonts w:ascii="Times New Roman" w:hAnsi="Times New Roman"/>
                <w:sz w:val="24"/>
                <w:szCs w:val="24"/>
                <w:vertAlign w:val="superscript"/>
              </w:rPr>
              <w:t>rd</w:t>
            </w:r>
            <w:r>
              <w:rPr>
                <w:rFonts w:ascii="Times New Roman" w:hAnsi="Times New Roman"/>
                <w:sz w:val="24"/>
                <w:szCs w:val="24"/>
              </w:rPr>
              <w:t xml:space="preserve"> </w:t>
            </w:r>
          </w:p>
        </w:tc>
        <w:tc>
          <w:tcPr>
            <w:tcW w:w="1651" w:type="dxa"/>
            <w:tcBorders>
              <w:top w:val="nil"/>
              <w:left w:val="nil"/>
              <w:bottom w:val="nil"/>
              <w:right w:val="nil"/>
            </w:tcBorders>
          </w:tcPr>
          <w:p w14:paraId="5C755A3F" w14:textId="65E2383C" w:rsidR="00091E51" w:rsidRDefault="00766771" w:rsidP="00483F35">
            <w:pPr>
              <w:autoSpaceDE w:val="0"/>
              <w:autoSpaceDN w:val="0"/>
              <w:adjustRightInd w:val="0"/>
              <w:spacing w:line="360" w:lineRule="auto"/>
              <w:jc w:val="both"/>
              <w:rPr>
                <w:rFonts w:ascii="Times New Roman" w:hAnsi="Times New Roman"/>
                <w:sz w:val="24"/>
                <w:szCs w:val="24"/>
              </w:rPr>
            </w:pPr>
            <w:r w:rsidRPr="00766771">
              <w:rPr>
                <w:rFonts w:ascii="Times New Roman" w:hAnsi="Times New Roman"/>
                <w:sz w:val="24"/>
                <w:szCs w:val="24"/>
                <w:highlight w:val="yellow"/>
              </w:rPr>
              <w:t>62</w:t>
            </w:r>
            <w:r w:rsidR="00091E51" w:rsidRPr="00766771">
              <w:rPr>
                <w:rFonts w:ascii="Times New Roman" w:hAnsi="Times New Roman"/>
                <w:sz w:val="24"/>
                <w:szCs w:val="24"/>
                <w:highlight w:val="yellow"/>
              </w:rPr>
              <w:t>(18.4%)</w:t>
            </w:r>
            <w:r w:rsidR="00091E51">
              <w:rPr>
                <w:rFonts w:ascii="Times New Roman" w:hAnsi="Times New Roman"/>
                <w:sz w:val="24"/>
                <w:szCs w:val="24"/>
              </w:rPr>
              <w:t xml:space="preserve"> neutral</w:t>
            </w:r>
          </w:p>
        </w:tc>
        <w:tc>
          <w:tcPr>
            <w:tcW w:w="284" w:type="dxa"/>
            <w:vMerge/>
            <w:tcBorders>
              <w:left w:val="nil"/>
              <w:right w:val="nil"/>
            </w:tcBorders>
          </w:tcPr>
          <w:p w14:paraId="1D141993"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r w:rsidR="00091E51" w14:paraId="6CD419AC" w14:textId="77777777" w:rsidTr="00483F35">
        <w:trPr>
          <w:trHeight w:val="300"/>
        </w:trPr>
        <w:tc>
          <w:tcPr>
            <w:tcW w:w="1435" w:type="dxa"/>
            <w:tcBorders>
              <w:top w:val="nil"/>
              <w:left w:val="nil"/>
              <w:bottom w:val="single" w:sz="4" w:space="0" w:color="auto"/>
              <w:right w:val="nil"/>
            </w:tcBorders>
          </w:tcPr>
          <w:p w14:paraId="74C68CD1"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Traditional medicine</w:t>
            </w:r>
          </w:p>
        </w:tc>
        <w:tc>
          <w:tcPr>
            <w:tcW w:w="1176" w:type="dxa"/>
            <w:tcBorders>
              <w:top w:val="nil"/>
              <w:left w:val="nil"/>
              <w:bottom w:val="single" w:sz="4" w:space="0" w:color="auto"/>
              <w:right w:val="nil"/>
            </w:tcBorders>
          </w:tcPr>
          <w:p w14:paraId="0015194D"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17(5%)</w:t>
            </w:r>
          </w:p>
        </w:tc>
        <w:tc>
          <w:tcPr>
            <w:tcW w:w="1276" w:type="dxa"/>
            <w:tcBorders>
              <w:top w:val="nil"/>
              <w:left w:val="nil"/>
              <w:bottom w:val="single" w:sz="4" w:space="0" w:color="auto"/>
              <w:right w:val="nil"/>
            </w:tcBorders>
          </w:tcPr>
          <w:p w14:paraId="44785DB0"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7(2%)</w:t>
            </w:r>
          </w:p>
        </w:tc>
        <w:tc>
          <w:tcPr>
            <w:tcW w:w="996" w:type="dxa"/>
            <w:tcBorders>
              <w:top w:val="nil"/>
              <w:left w:val="nil"/>
              <w:bottom w:val="single" w:sz="4" w:space="0" w:color="auto"/>
              <w:right w:val="nil"/>
            </w:tcBorders>
          </w:tcPr>
          <w:p w14:paraId="58AF040D"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139 (41%)</w:t>
            </w:r>
          </w:p>
        </w:tc>
        <w:tc>
          <w:tcPr>
            <w:tcW w:w="1116" w:type="dxa"/>
            <w:tcBorders>
              <w:top w:val="nil"/>
              <w:left w:val="nil"/>
              <w:bottom w:val="single" w:sz="4" w:space="0" w:color="auto"/>
              <w:right w:val="nil"/>
            </w:tcBorders>
          </w:tcPr>
          <w:p w14:paraId="4D3B4967"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141 (42%)</w:t>
            </w:r>
          </w:p>
        </w:tc>
        <w:tc>
          <w:tcPr>
            <w:tcW w:w="1188" w:type="dxa"/>
            <w:tcBorders>
              <w:top w:val="nil"/>
              <w:left w:val="nil"/>
              <w:bottom w:val="single" w:sz="4" w:space="0" w:color="auto"/>
              <w:right w:val="nil"/>
            </w:tcBorders>
          </w:tcPr>
          <w:p w14:paraId="767BD6B9" w14:textId="77777777" w:rsidR="00091E51" w:rsidRDefault="00091E51" w:rsidP="00483F35">
            <w:pPr>
              <w:autoSpaceDE w:val="0"/>
              <w:autoSpaceDN w:val="0"/>
              <w:adjustRightInd w:val="0"/>
              <w:jc w:val="center"/>
              <w:rPr>
                <w:rFonts w:ascii="Times New Roman" w:hAnsi="Times New Roman"/>
                <w:sz w:val="24"/>
                <w:szCs w:val="24"/>
              </w:rPr>
            </w:pPr>
            <w:r>
              <w:rPr>
                <w:rFonts w:ascii="Times New Roman" w:hAnsi="Times New Roman"/>
                <w:sz w:val="24"/>
                <w:szCs w:val="24"/>
              </w:rPr>
              <w:t>8</w:t>
            </w:r>
            <w:r w:rsidRPr="000C280E">
              <w:rPr>
                <w:rFonts w:ascii="Times New Roman" w:hAnsi="Times New Roman"/>
                <w:sz w:val="24"/>
                <w:szCs w:val="24"/>
                <w:vertAlign w:val="superscript"/>
              </w:rPr>
              <w:t>th</w:t>
            </w:r>
            <w:r>
              <w:rPr>
                <w:rFonts w:ascii="Times New Roman" w:hAnsi="Times New Roman"/>
                <w:sz w:val="24"/>
                <w:szCs w:val="24"/>
              </w:rPr>
              <w:t xml:space="preserve"> </w:t>
            </w:r>
          </w:p>
        </w:tc>
        <w:tc>
          <w:tcPr>
            <w:tcW w:w="1651" w:type="dxa"/>
            <w:tcBorders>
              <w:top w:val="nil"/>
              <w:left w:val="nil"/>
              <w:bottom w:val="single" w:sz="4" w:space="0" w:color="auto"/>
              <w:right w:val="nil"/>
            </w:tcBorders>
          </w:tcPr>
          <w:p w14:paraId="07E95D0A" w14:textId="77777777" w:rsidR="00091E51" w:rsidRDefault="00091E51" w:rsidP="00483F35">
            <w:pPr>
              <w:autoSpaceDE w:val="0"/>
              <w:autoSpaceDN w:val="0"/>
              <w:adjustRightInd w:val="0"/>
              <w:jc w:val="both"/>
              <w:rPr>
                <w:rFonts w:ascii="Times New Roman" w:hAnsi="Times New Roman"/>
                <w:sz w:val="24"/>
                <w:szCs w:val="24"/>
              </w:rPr>
            </w:pPr>
            <w:r>
              <w:rPr>
                <w:rFonts w:ascii="Times New Roman" w:hAnsi="Times New Roman"/>
                <w:sz w:val="24"/>
                <w:szCs w:val="24"/>
              </w:rPr>
              <w:t>33(10%) neutral responses</w:t>
            </w:r>
          </w:p>
        </w:tc>
        <w:tc>
          <w:tcPr>
            <w:tcW w:w="284" w:type="dxa"/>
            <w:vMerge/>
            <w:tcBorders>
              <w:left w:val="nil"/>
              <w:bottom w:val="nil"/>
              <w:right w:val="nil"/>
            </w:tcBorders>
          </w:tcPr>
          <w:p w14:paraId="1EA2F66B" w14:textId="77777777" w:rsidR="00091E51" w:rsidRDefault="00091E51" w:rsidP="00483F35">
            <w:pPr>
              <w:autoSpaceDE w:val="0"/>
              <w:autoSpaceDN w:val="0"/>
              <w:adjustRightInd w:val="0"/>
              <w:spacing w:line="360" w:lineRule="auto"/>
              <w:jc w:val="both"/>
              <w:rPr>
                <w:rFonts w:ascii="Times New Roman" w:hAnsi="Times New Roman"/>
                <w:sz w:val="24"/>
                <w:szCs w:val="24"/>
              </w:rPr>
            </w:pPr>
          </w:p>
        </w:tc>
      </w:tr>
    </w:tbl>
    <w:p w14:paraId="1FE9BB2C" w14:textId="77777777" w:rsidR="00CF0E98" w:rsidRDefault="00091E51" w:rsidP="00FA169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
    <w:p w14:paraId="64BE38CF" w14:textId="77777777" w:rsidR="001F2699" w:rsidRDefault="00483F35" w:rsidP="00483F35">
      <w:pPr>
        <w:pStyle w:val="ListParagraph"/>
        <w:numPr>
          <w:ilvl w:val="0"/>
          <w:numId w:val="14"/>
        </w:num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Causes of Decline in Human Livelihood</w:t>
      </w:r>
    </w:p>
    <w:p w14:paraId="70965562" w14:textId="77777777" w:rsidR="00483F35" w:rsidRPr="00483F35" w:rsidRDefault="00483F35" w:rsidP="00483F3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Human livelihood refers to the means whereby one obtains income (finance) to earn a living. The two locations, though in the same geographical region, are of differing activities, each creating environmental impact unique to the prevailing circumstances. Accordingly</w:t>
      </w:r>
      <w:r w:rsidR="00CF0E98">
        <w:rPr>
          <w:rFonts w:ascii="Times New Roman" w:hAnsi="Times New Roman"/>
          <w:sz w:val="24"/>
          <w:szCs w:val="24"/>
        </w:rPr>
        <w:t>, there is a significant operation</w:t>
      </w:r>
      <w:r>
        <w:rPr>
          <w:rFonts w:ascii="Times New Roman" w:hAnsi="Times New Roman"/>
          <w:sz w:val="24"/>
          <w:szCs w:val="24"/>
        </w:rPr>
        <w:t xml:space="preserve"> of illegal refining of crude in the Rivers State zonal area of the study while the Bayelsa State Zonal area does not have such activities, hence deemed to have </w:t>
      </w:r>
      <w:r w:rsidR="00CF0E98">
        <w:rPr>
          <w:rFonts w:ascii="Times New Roman" w:hAnsi="Times New Roman"/>
          <w:sz w:val="24"/>
          <w:szCs w:val="24"/>
        </w:rPr>
        <w:t xml:space="preserve">possessed a relatively normal environmental condition. This differential affects rate of decline in environmental resources as well as occupational activities. The computation of the investigation is as presented in Table 3: </w:t>
      </w:r>
      <w:r w:rsidR="00442B10">
        <w:rPr>
          <w:rFonts w:ascii="Times New Roman" w:hAnsi="Times New Roman"/>
          <w:sz w:val="24"/>
          <w:szCs w:val="24"/>
        </w:rPr>
        <w:t xml:space="preserve"> where it is indicated that</w:t>
      </w:r>
      <w:r w:rsidR="005402C4">
        <w:rPr>
          <w:rFonts w:ascii="Times New Roman" w:hAnsi="Times New Roman"/>
          <w:sz w:val="24"/>
          <w:szCs w:val="24"/>
        </w:rPr>
        <w:t xml:space="preserve"> the degree of significance of other activities are the same but that of illegal refining is significantly higher with its attendant impacts in the Rivers Stat zonal area of </w:t>
      </w:r>
      <w:r w:rsidR="005402C4" w:rsidRPr="00205597">
        <w:rPr>
          <w:rFonts w:ascii="Times New Roman" w:hAnsi="Times New Roman"/>
          <w:sz w:val="24"/>
          <w:szCs w:val="24"/>
          <w:highlight w:val="yellow"/>
        </w:rPr>
        <w:t>thee</w:t>
      </w:r>
      <w:r w:rsidR="005402C4">
        <w:rPr>
          <w:rFonts w:ascii="Times New Roman" w:hAnsi="Times New Roman"/>
          <w:sz w:val="24"/>
          <w:szCs w:val="24"/>
        </w:rPr>
        <w:t xml:space="preserve"> study.</w:t>
      </w:r>
      <w:r w:rsidR="00442B10">
        <w:rPr>
          <w:rFonts w:ascii="Times New Roman" w:hAnsi="Times New Roman"/>
          <w:sz w:val="24"/>
          <w:szCs w:val="24"/>
        </w:rPr>
        <w:t xml:space="preserve"> </w:t>
      </w:r>
      <w:r w:rsidR="00CF0E98">
        <w:rPr>
          <w:rFonts w:ascii="Times New Roman" w:hAnsi="Times New Roman"/>
          <w:sz w:val="24"/>
          <w:szCs w:val="24"/>
        </w:rPr>
        <w:t xml:space="preserve">  </w:t>
      </w:r>
    </w:p>
    <w:p w14:paraId="525677ED" w14:textId="77777777" w:rsidR="001F2699" w:rsidRDefault="001F2699" w:rsidP="00FA1695">
      <w:pPr>
        <w:autoSpaceDE w:val="0"/>
        <w:autoSpaceDN w:val="0"/>
        <w:adjustRightInd w:val="0"/>
        <w:spacing w:after="0" w:line="360" w:lineRule="auto"/>
        <w:jc w:val="both"/>
        <w:rPr>
          <w:rFonts w:ascii="Times New Roman" w:hAnsi="Times New Roman"/>
          <w:sz w:val="24"/>
          <w:szCs w:val="24"/>
        </w:rPr>
      </w:pPr>
    </w:p>
    <w:p w14:paraId="5A43AB85" w14:textId="77777777" w:rsidR="001F2699" w:rsidRDefault="001F2699" w:rsidP="00FA1695">
      <w:pPr>
        <w:autoSpaceDE w:val="0"/>
        <w:autoSpaceDN w:val="0"/>
        <w:adjustRightInd w:val="0"/>
        <w:spacing w:after="0" w:line="360" w:lineRule="auto"/>
        <w:jc w:val="both"/>
        <w:rPr>
          <w:rFonts w:ascii="Times New Roman" w:hAnsi="Times New Roman"/>
          <w:sz w:val="24"/>
          <w:szCs w:val="24"/>
        </w:rPr>
      </w:pPr>
    </w:p>
    <w:p w14:paraId="7117E0C9" w14:textId="77777777" w:rsidR="00442B10" w:rsidRPr="00B50A5C" w:rsidRDefault="00442B10" w:rsidP="00442B10">
      <w:pPr>
        <w:pStyle w:val="ListParagraph"/>
        <w:spacing w:line="240" w:lineRule="auto"/>
        <w:ind w:left="0"/>
        <w:jc w:val="both"/>
        <w:rPr>
          <w:rFonts w:ascii="Times New Roman" w:hAnsi="Times New Roman" w:cs="Times New Roman"/>
          <w:b/>
          <w:sz w:val="24"/>
        </w:rPr>
      </w:pPr>
      <w:r w:rsidRPr="00B50A5C">
        <w:rPr>
          <w:rFonts w:ascii="Times New Roman" w:hAnsi="Times New Roman" w:cs="Times New Roman"/>
          <w:b/>
          <w:sz w:val="24"/>
        </w:rPr>
        <w:t>Discussions</w:t>
      </w:r>
    </w:p>
    <w:p w14:paraId="3C176632" w14:textId="77777777" w:rsidR="00442B10" w:rsidRDefault="00442B10" w:rsidP="00442B10">
      <w:pPr>
        <w:pStyle w:val="ListParagraph"/>
        <w:spacing w:line="240" w:lineRule="auto"/>
        <w:ind w:left="0"/>
        <w:jc w:val="both"/>
        <w:rPr>
          <w:rFonts w:ascii="Times New Roman" w:hAnsi="Times New Roman" w:cs="Times New Roman"/>
          <w:b/>
          <w:sz w:val="24"/>
        </w:rPr>
      </w:pPr>
    </w:p>
    <w:p w14:paraId="68B86AA5" w14:textId="77777777" w:rsidR="00442B10" w:rsidRDefault="00442B10" w:rsidP="00442B10">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 xml:space="preserve">The results in Table 1 indicated the predominance of </w:t>
      </w:r>
      <w:r w:rsidRPr="00FA1695">
        <w:rPr>
          <w:rFonts w:ascii="Times New Roman" w:hAnsi="Times New Roman" w:cs="Times New Roman"/>
          <w:i/>
          <w:sz w:val="24"/>
        </w:rPr>
        <w:t>Rhizophoraceae</w:t>
      </w:r>
      <w:r>
        <w:rPr>
          <w:rFonts w:ascii="Times New Roman" w:hAnsi="Times New Roman" w:cs="Times New Roman"/>
          <w:sz w:val="24"/>
        </w:rPr>
        <w:t xml:space="preserve"> (Red Mangrove) in the Niger Delta regional mangrove, appearing in three species of </w:t>
      </w:r>
      <w:r w:rsidRPr="00FA1695">
        <w:rPr>
          <w:rFonts w:ascii="Times New Roman" w:hAnsi="Times New Roman" w:cs="Times New Roman"/>
          <w:i/>
          <w:sz w:val="24"/>
        </w:rPr>
        <w:t>R. racimosa</w:t>
      </w:r>
      <w:r>
        <w:rPr>
          <w:rFonts w:ascii="Times New Roman" w:hAnsi="Times New Roman" w:cs="Times New Roman"/>
          <w:sz w:val="24"/>
        </w:rPr>
        <w:t xml:space="preserve"> (Red Mangrove Tall), </w:t>
      </w:r>
      <w:r w:rsidRPr="00FA1695">
        <w:rPr>
          <w:rFonts w:ascii="Times New Roman" w:hAnsi="Times New Roman" w:cs="Times New Roman"/>
          <w:i/>
          <w:sz w:val="24"/>
        </w:rPr>
        <w:t xml:space="preserve">R. harrisonai </w:t>
      </w:r>
      <w:r>
        <w:rPr>
          <w:rFonts w:ascii="Times New Roman" w:hAnsi="Times New Roman" w:cs="Times New Roman"/>
          <w:sz w:val="24"/>
        </w:rPr>
        <w:t xml:space="preserve">(Red Mangrove Moderate), and </w:t>
      </w:r>
      <w:r w:rsidRPr="00FA1695">
        <w:rPr>
          <w:rFonts w:ascii="Times New Roman" w:hAnsi="Times New Roman" w:cs="Times New Roman"/>
          <w:i/>
          <w:sz w:val="24"/>
        </w:rPr>
        <w:t>R. mangle</w:t>
      </w:r>
      <w:r>
        <w:rPr>
          <w:rFonts w:ascii="Times New Roman" w:hAnsi="Times New Roman" w:cs="Times New Roman"/>
          <w:sz w:val="24"/>
        </w:rPr>
        <w:t xml:space="preserve"> (Red Mangrove Dwarf) while others a scantily distributed. It is to be noted that the shady evergreen characteristic and the presence of tangle of prop roots creates room habitation, foraging, and breeding of various fauna components of the mangrove ecosystem. This justifies the assertion of [16] and the fact that there was no variation between the floral compositions of the two locations, is an indication of uniformity in the region. Red mangrove thrives well with the daily tidal effects which enable ecological activities to occur, thereby maintaining a food chain upon which human wellbeing and livelihood is dependent. The interlocking of the mangroves with barrier islands which are rainforest/fresh water environments creates hunting amenity as wildlife are attracted to these spots for their wellbeing. Fauna components such as mammals, birds, reptiles, and varieties of fishes, including gastropods are major components of the mangrove ecosystem. Thus there exist several economic activities such as fishing, hunting, logging, local crafts etc. attached to the mangrove ecosystem. </w:t>
      </w:r>
    </w:p>
    <w:p w14:paraId="05E03E05" w14:textId="77777777" w:rsidR="00442B10" w:rsidRDefault="00442B10" w:rsidP="00442B10">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The benefit derivable from these resources of the ecosystem is a measure of the economic value which varies from one zone to the other. Accordingly, the study indicated a decline in livelihood of the rural dwellers whose economic lives are dependent on resources of the mangrove ecosystem. The reconnaissance survey of the study area revealed that due to the activities of illegal refining of crude oil in the Rivers zonal area, the mangroves in the area are significantly withered, resulting in deforestation, habitat loss, environmental pollution, and atmospheric changes while the Bayelsa zonal area is undisturbed by illegal refining. There is therefore a dearth of economic activities attached to the mangrove ecosystem in the Rivers area while almost all activities of economic concern are on-going in the Bayelsa area where the mangrove ecosystem is relatively undisturbed. Photograph taken during the reconnaissance survey is as shown in Figures 3 and 4:</w:t>
      </w:r>
    </w:p>
    <w:p w14:paraId="06B805E2" w14:textId="77777777" w:rsidR="00442B10" w:rsidRDefault="00442B10" w:rsidP="00442B10">
      <w:pPr>
        <w:pStyle w:val="ListParagraph"/>
        <w:spacing w:line="240" w:lineRule="auto"/>
        <w:ind w:left="0"/>
        <w:jc w:val="both"/>
        <w:rPr>
          <w:rFonts w:ascii="Times New Roman" w:hAnsi="Times New Roman" w:cs="Times New Roman"/>
          <w:sz w:val="24"/>
        </w:rPr>
      </w:pPr>
    </w:p>
    <w:p w14:paraId="5CC66E31" w14:textId="77777777" w:rsidR="001F2699" w:rsidRDefault="005402C4" w:rsidP="00FA1695">
      <w:pPr>
        <w:autoSpaceDE w:val="0"/>
        <w:autoSpaceDN w:val="0"/>
        <w:adjustRightInd w:val="0"/>
        <w:spacing w:after="0" w:line="360" w:lineRule="auto"/>
        <w:jc w:val="both"/>
        <w:rPr>
          <w:rFonts w:ascii="Times New Roman" w:hAnsi="Times New Roman"/>
          <w:sz w:val="24"/>
          <w:szCs w:val="24"/>
        </w:rPr>
      </w:pPr>
      <w:r>
        <w:rPr>
          <w:noProof/>
          <w:lang w:val="en-IN" w:eastAsia="en-IN"/>
        </w:rPr>
        <w:drawing>
          <wp:inline distT="0" distB="0" distL="0" distR="0" wp14:anchorId="781BAEC2" wp14:editId="590C47EE">
            <wp:extent cx="2847975" cy="3562350"/>
            <wp:effectExtent l="0" t="0" r="9525" b="0"/>
            <wp:docPr id="3" name="Picture 3" descr="C:\Users\user\AppData\Local\Microsoft\Windows\Temporary Internet Files\Content.Word\IMG_20240703_095130_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Word\IMG_20240703_095130_77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5643" b="30197"/>
                    <a:stretch/>
                  </pic:blipFill>
                  <pic:spPr bwMode="auto">
                    <a:xfrm>
                      <a:off x="0" y="0"/>
                      <a:ext cx="2850636" cy="356567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Pr="005402C4">
        <w:rPr>
          <w:noProof/>
        </w:rPr>
        <w:t xml:space="preserve"> </w:t>
      </w:r>
      <w:r>
        <w:rPr>
          <w:noProof/>
          <w:lang w:val="en-IN" w:eastAsia="en-IN"/>
        </w:rPr>
        <w:drawing>
          <wp:inline distT="0" distB="0" distL="0" distR="0" wp14:anchorId="47304E40" wp14:editId="2336D075">
            <wp:extent cx="2981324" cy="3562350"/>
            <wp:effectExtent l="0" t="0" r="0" b="0"/>
            <wp:docPr id="6" name="Picture 6" descr="C:\Users\user\AppData\Local\Microsoft\Windows\Temporary Internet Files\Content.Word\IMG_20240817_092803_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Temporary Internet Files\Content.Word\IMG_20240817_092803_076.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6053" b="30894"/>
                    <a:stretch/>
                  </pic:blipFill>
                  <pic:spPr bwMode="auto">
                    <a:xfrm>
                      <a:off x="0" y="0"/>
                      <a:ext cx="2981324" cy="3562350"/>
                    </a:xfrm>
                    <a:prstGeom prst="rect">
                      <a:avLst/>
                    </a:prstGeom>
                    <a:noFill/>
                    <a:ln>
                      <a:noFill/>
                    </a:ln>
                    <a:extLst>
                      <a:ext uri="{53640926-AAD7-44D8-BBD7-CCE9431645EC}">
                        <a14:shadowObscured xmlns:a14="http://schemas.microsoft.com/office/drawing/2010/main"/>
                      </a:ext>
                    </a:extLst>
                  </pic:spPr>
                </pic:pic>
              </a:graphicData>
            </a:graphic>
          </wp:inline>
        </w:drawing>
      </w:r>
    </w:p>
    <w:p w14:paraId="437E2564" w14:textId="77777777" w:rsidR="005402C4" w:rsidRDefault="005402C4" w:rsidP="005402C4">
      <w:pPr>
        <w:pStyle w:val="ListParagraph"/>
        <w:spacing w:line="240" w:lineRule="auto"/>
        <w:ind w:left="0"/>
        <w:jc w:val="both"/>
        <w:rPr>
          <w:rFonts w:ascii="Times New Roman" w:hAnsi="Times New Roman" w:cs="Times New Roman"/>
          <w:b/>
          <w:sz w:val="24"/>
        </w:rPr>
      </w:pPr>
      <w:r>
        <w:rPr>
          <w:rFonts w:ascii="Times New Roman" w:hAnsi="Times New Roman" w:cs="Times New Roman"/>
          <w:b/>
          <w:sz w:val="24"/>
        </w:rPr>
        <w:t>Figure 3: Undisturbed Mangrove Ticket at the Bayelsa Zonal Area</w:t>
      </w:r>
    </w:p>
    <w:p w14:paraId="596D5421" w14:textId="77777777" w:rsidR="005402C4" w:rsidRDefault="005402C4" w:rsidP="005402C4">
      <w:pPr>
        <w:pStyle w:val="ListParagraph"/>
        <w:spacing w:line="240" w:lineRule="auto"/>
        <w:ind w:left="0"/>
        <w:jc w:val="both"/>
        <w:rPr>
          <w:rFonts w:ascii="Times New Roman" w:hAnsi="Times New Roman" w:cs="Times New Roman"/>
          <w:b/>
          <w:sz w:val="24"/>
        </w:rPr>
      </w:pPr>
      <w:r>
        <w:rPr>
          <w:rFonts w:ascii="Times New Roman" w:hAnsi="Times New Roman" w:cs="Times New Roman"/>
          <w:b/>
          <w:sz w:val="24"/>
        </w:rPr>
        <w:t>Figure 4: Withered Mangrove Environment in the creeks of the Rivers Zonal Area</w:t>
      </w:r>
    </w:p>
    <w:p w14:paraId="524157EB" w14:textId="77777777" w:rsidR="00733EC8" w:rsidRDefault="00733EC8" w:rsidP="00FA1695">
      <w:pPr>
        <w:autoSpaceDE w:val="0"/>
        <w:autoSpaceDN w:val="0"/>
        <w:adjustRightInd w:val="0"/>
        <w:spacing w:after="0" w:line="360" w:lineRule="auto"/>
        <w:jc w:val="both"/>
        <w:rPr>
          <w:rFonts w:ascii="Times New Roman" w:hAnsi="Times New Roman"/>
          <w:sz w:val="24"/>
          <w:szCs w:val="24"/>
        </w:rPr>
        <w:sectPr w:rsidR="00733EC8" w:rsidSect="001E2BF6">
          <w:headerReference w:type="even" r:id="rId11"/>
          <w:headerReference w:type="default" r:id="rId12"/>
          <w:footerReference w:type="even" r:id="rId13"/>
          <w:footerReference w:type="default" r:id="rId14"/>
          <w:headerReference w:type="first" r:id="rId15"/>
          <w:footerReference w:type="first" r:id="rId16"/>
          <w:pgSz w:w="12240" w:h="15840"/>
          <w:pgMar w:top="900" w:right="1170" w:bottom="900" w:left="1350" w:header="720" w:footer="720" w:gutter="0"/>
          <w:cols w:space="720"/>
          <w:docGrid w:linePitch="360"/>
        </w:sectPr>
      </w:pPr>
    </w:p>
    <w:p w14:paraId="2FD6BBB9" w14:textId="77777777" w:rsidR="00733EC8" w:rsidRDefault="00733EC8" w:rsidP="00733EC8">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Table 3: Intensity of Various causes of Depletion of Mangrove Ecosystem goods and services</w:t>
      </w:r>
    </w:p>
    <w:tbl>
      <w:tblPr>
        <w:tblStyle w:val="TableGrid"/>
        <w:tblW w:w="0" w:type="auto"/>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900"/>
        <w:gridCol w:w="990"/>
        <w:gridCol w:w="13"/>
        <w:gridCol w:w="887"/>
        <w:gridCol w:w="990"/>
        <w:gridCol w:w="900"/>
        <w:gridCol w:w="990"/>
        <w:gridCol w:w="900"/>
        <w:gridCol w:w="990"/>
        <w:gridCol w:w="900"/>
        <w:gridCol w:w="990"/>
        <w:gridCol w:w="810"/>
        <w:gridCol w:w="1170"/>
      </w:tblGrid>
      <w:tr w:rsidR="00733EC8" w14:paraId="4DC1E6FF" w14:textId="77777777" w:rsidTr="00483F35">
        <w:tc>
          <w:tcPr>
            <w:tcW w:w="1440" w:type="dxa"/>
            <w:tcBorders>
              <w:top w:val="single" w:sz="4" w:space="0" w:color="auto"/>
              <w:bottom w:val="nil"/>
            </w:tcBorders>
          </w:tcPr>
          <w:p w14:paraId="5BEC6A84" w14:textId="77777777" w:rsidR="00733EC8" w:rsidRPr="00264F86"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Causes of Depletions</w:t>
            </w:r>
          </w:p>
        </w:tc>
        <w:tc>
          <w:tcPr>
            <w:tcW w:w="1903" w:type="dxa"/>
            <w:gridSpan w:val="3"/>
            <w:tcBorders>
              <w:top w:val="single" w:sz="4" w:space="0" w:color="auto"/>
              <w:bottom w:val="nil"/>
            </w:tcBorders>
          </w:tcPr>
          <w:p w14:paraId="17BF40A4" w14:textId="77777777" w:rsidR="00733EC8"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Very </w:t>
            </w:r>
          </w:p>
          <w:p w14:paraId="1F1FA2A1" w14:textId="77777777" w:rsidR="00733EC8" w:rsidRPr="00264F86"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Insignificant</w:t>
            </w:r>
          </w:p>
        </w:tc>
        <w:tc>
          <w:tcPr>
            <w:tcW w:w="1877" w:type="dxa"/>
            <w:gridSpan w:val="2"/>
            <w:tcBorders>
              <w:top w:val="single" w:sz="4" w:space="0" w:color="auto"/>
              <w:bottom w:val="nil"/>
            </w:tcBorders>
          </w:tcPr>
          <w:p w14:paraId="1BAEC62B" w14:textId="77777777" w:rsidR="00733EC8" w:rsidRPr="00264F86"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insignificant </w:t>
            </w:r>
          </w:p>
        </w:tc>
        <w:tc>
          <w:tcPr>
            <w:tcW w:w="1890" w:type="dxa"/>
            <w:gridSpan w:val="2"/>
            <w:tcBorders>
              <w:top w:val="single" w:sz="4" w:space="0" w:color="auto"/>
              <w:bottom w:val="nil"/>
            </w:tcBorders>
          </w:tcPr>
          <w:p w14:paraId="1AF524A2" w14:textId="77777777" w:rsidR="00733EC8" w:rsidRPr="00264F86"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Neither Significant nor Insignificant</w:t>
            </w:r>
          </w:p>
        </w:tc>
        <w:tc>
          <w:tcPr>
            <w:tcW w:w="1890" w:type="dxa"/>
            <w:gridSpan w:val="2"/>
            <w:tcBorders>
              <w:top w:val="single" w:sz="4" w:space="0" w:color="auto"/>
              <w:bottom w:val="nil"/>
            </w:tcBorders>
          </w:tcPr>
          <w:p w14:paraId="498B197E" w14:textId="77777777" w:rsidR="00733EC8" w:rsidRPr="00264F86"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Significant</w:t>
            </w:r>
          </w:p>
        </w:tc>
        <w:tc>
          <w:tcPr>
            <w:tcW w:w="1890" w:type="dxa"/>
            <w:gridSpan w:val="2"/>
            <w:tcBorders>
              <w:top w:val="single" w:sz="4" w:space="0" w:color="auto"/>
              <w:bottom w:val="nil"/>
            </w:tcBorders>
          </w:tcPr>
          <w:p w14:paraId="785DCAEA" w14:textId="77777777" w:rsidR="00733EC8"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Very</w:t>
            </w:r>
          </w:p>
          <w:p w14:paraId="413E7289" w14:textId="77777777" w:rsidR="00733EC8" w:rsidRPr="00264F86"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Significant</w:t>
            </w:r>
          </w:p>
        </w:tc>
        <w:tc>
          <w:tcPr>
            <w:tcW w:w="1980" w:type="dxa"/>
            <w:gridSpan w:val="2"/>
            <w:tcBorders>
              <w:top w:val="single" w:sz="4" w:space="0" w:color="auto"/>
              <w:bottom w:val="nil"/>
            </w:tcBorders>
          </w:tcPr>
          <w:p w14:paraId="13BCD19B" w14:textId="77777777" w:rsidR="00733EC8" w:rsidRPr="00264F86" w:rsidRDefault="00733EC8" w:rsidP="00483F35">
            <w:pPr>
              <w:autoSpaceDE w:val="0"/>
              <w:autoSpaceDN w:val="0"/>
              <w:adjustRightInd w:val="0"/>
              <w:jc w:val="center"/>
              <w:rPr>
                <w:rFonts w:ascii="Times New Roman" w:hAnsi="Times New Roman"/>
                <w:b/>
                <w:sz w:val="24"/>
                <w:szCs w:val="24"/>
              </w:rPr>
            </w:pPr>
          </w:p>
        </w:tc>
      </w:tr>
      <w:tr w:rsidR="00733EC8" w14:paraId="615C25DE" w14:textId="77777777" w:rsidTr="00483F35">
        <w:tc>
          <w:tcPr>
            <w:tcW w:w="12870" w:type="dxa"/>
            <w:gridSpan w:val="14"/>
            <w:tcBorders>
              <w:top w:val="nil"/>
              <w:bottom w:val="nil"/>
            </w:tcBorders>
          </w:tcPr>
          <w:p w14:paraId="22C7AD9D" w14:textId="77777777" w:rsidR="00733EC8" w:rsidRPr="00264F86"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FREQUENCY</w:t>
            </w:r>
          </w:p>
        </w:tc>
      </w:tr>
      <w:tr w:rsidR="00733EC8" w14:paraId="61AE6785" w14:textId="77777777" w:rsidTr="00483F35">
        <w:tc>
          <w:tcPr>
            <w:tcW w:w="1440" w:type="dxa"/>
            <w:tcBorders>
              <w:top w:val="nil"/>
              <w:bottom w:val="single" w:sz="4" w:space="0" w:color="auto"/>
            </w:tcBorders>
          </w:tcPr>
          <w:p w14:paraId="27259A94" w14:textId="77777777" w:rsidR="00733EC8" w:rsidRPr="00264F86" w:rsidRDefault="00733EC8" w:rsidP="00483F35">
            <w:pPr>
              <w:autoSpaceDE w:val="0"/>
              <w:autoSpaceDN w:val="0"/>
              <w:adjustRightInd w:val="0"/>
              <w:jc w:val="both"/>
              <w:rPr>
                <w:rFonts w:ascii="Times New Roman" w:hAnsi="Times New Roman"/>
                <w:b/>
                <w:sz w:val="24"/>
                <w:szCs w:val="24"/>
              </w:rPr>
            </w:pPr>
          </w:p>
        </w:tc>
        <w:tc>
          <w:tcPr>
            <w:tcW w:w="900" w:type="dxa"/>
            <w:tcBorders>
              <w:top w:val="nil"/>
              <w:bottom w:val="single" w:sz="4" w:space="0" w:color="auto"/>
            </w:tcBorders>
          </w:tcPr>
          <w:p w14:paraId="68A7ECF1" w14:textId="77777777" w:rsidR="00733EC8" w:rsidRPr="00264F86" w:rsidRDefault="00733EC8" w:rsidP="00483F35">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Rivers </w:t>
            </w:r>
          </w:p>
        </w:tc>
        <w:tc>
          <w:tcPr>
            <w:tcW w:w="990" w:type="dxa"/>
            <w:tcBorders>
              <w:top w:val="nil"/>
              <w:bottom w:val="single" w:sz="4" w:space="0" w:color="auto"/>
            </w:tcBorders>
          </w:tcPr>
          <w:p w14:paraId="0D39B6D7" w14:textId="77777777" w:rsidR="00733EC8" w:rsidRPr="00264F86" w:rsidRDefault="00733EC8" w:rsidP="00483F35">
            <w:pPr>
              <w:autoSpaceDE w:val="0"/>
              <w:autoSpaceDN w:val="0"/>
              <w:adjustRightInd w:val="0"/>
              <w:jc w:val="both"/>
              <w:rPr>
                <w:rFonts w:ascii="Times New Roman" w:hAnsi="Times New Roman"/>
                <w:b/>
                <w:sz w:val="24"/>
                <w:szCs w:val="24"/>
              </w:rPr>
            </w:pPr>
            <w:r w:rsidRPr="000F003E">
              <w:rPr>
                <w:rFonts w:ascii="Times New Roman" w:hAnsi="Times New Roman"/>
                <w:b/>
                <w:szCs w:val="24"/>
              </w:rPr>
              <w:t>Bayelsa</w:t>
            </w:r>
          </w:p>
        </w:tc>
        <w:tc>
          <w:tcPr>
            <w:tcW w:w="900" w:type="dxa"/>
            <w:gridSpan w:val="2"/>
            <w:tcBorders>
              <w:top w:val="nil"/>
              <w:bottom w:val="single" w:sz="4" w:space="0" w:color="auto"/>
            </w:tcBorders>
          </w:tcPr>
          <w:p w14:paraId="7A280F0C" w14:textId="77777777" w:rsidR="00733EC8" w:rsidRPr="00264F86" w:rsidRDefault="00733EC8" w:rsidP="00483F35">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Rivers </w:t>
            </w:r>
          </w:p>
        </w:tc>
        <w:tc>
          <w:tcPr>
            <w:tcW w:w="990" w:type="dxa"/>
            <w:tcBorders>
              <w:top w:val="nil"/>
              <w:bottom w:val="single" w:sz="4" w:space="0" w:color="auto"/>
            </w:tcBorders>
          </w:tcPr>
          <w:p w14:paraId="6DD6415C" w14:textId="77777777" w:rsidR="00733EC8" w:rsidRPr="00264F86" w:rsidRDefault="00733EC8" w:rsidP="00483F35">
            <w:pPr>
              <w:autoSpaceDE w:val="0"/>
              <w:autoSpaceDN w:val="0"/>
              <w:adjustRightInd w:val="0"/>
              <w:jc w:val="both"/>
              <w:rPr>
                <w:rFonts w:ascii="Times New Roman" w:hAnsi="Times New Roman"/>
                <w:b/>
                <w:sz w:val="24"/>
                <w:szCs w:val="24"/>
              </w:rPr>
            </w:pPr>
            <w:r w:rsidRPr="000F003E">
              <w:rPr>
                <w:rFonts w:ascii="Times New Roman" w:hAnsi="Times New Roman"/>
                <w:b/>
                <w:szCs w:val="24"/>
              </w:rPr>
              <w:t>Bayelsa</w:t>
            </w:r>
          </w:p>
        </w:tc>
        <w:tc>
          <w:tcPr>
            <w:tcW w:w="900" w:type="dxa"/>
            <w:tcBorders>
              <w:top w:val="nil"/>
              <w:bottom w:val="single" w:sz="4" w:space="0" w:color="auto"/>
            </w:tcBorders>
          </w:tcPr>
          <w:p w14:paraId="4F9645F4" w14:textId="77777777" w:rsidR="00733EC8" w:rsidRPr="00264F86" w:rsidRDefault="00733EC8" w:rsidP="00483F35">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Rivers </w:t>
            </w:r>
          </w:p>
        </w:tc>
        <w:tc>
          <w:tcPr>
            <w:tcW w:w="990" w:type="dxa"/>
            <w:tcBorders>
              <w:top w:val="nil"/>
              <w:bottom w:val="single" w:sz="4" w:space="0" w:color="auto"/>
            </w:tcBorders>
          </w:tcPr>
          <w:p w14:paraId="53069242" w14:textId="77777777" w:rsidR="00733EC8" w:rsidRPr="00264F86" w:rsidRDefault="00733EC8" w:rsidP="00483F35">
            <w:pPr>
              <w:autoSpaceDE w:val="0"/>
              <w:autoSpaceDN w:val="0"/>
              <w:adjustRightInd w:val="0"/>
              <w:jc w:val="both"/>
              <w:rPr>
                <w:rFonts w:ascii="Times New Roman" w:hAnsi="Times New Roman"/>
                <w:b/>
                <w:sz w:val="24"/>
                <w:szCs w:val="24"/>
              </w:rPr>
            </w:pPr>
            <w:r w:rsidRPr="000F003E">
              <w:rPr>
                <w:rFonts w:ascii="Times New Roman" w:hAnsi="Times New Roman"/>
                <w:b/>
                <w:szCs w:val="24"/>
              </w:rPr>
              <w:t>Bayelsa</w:t>
            </w:r>
            <w:r>
              <w:rPr>
                <w:rFonts w:ascii="Times New Roman" w:hAnsi="Times New Roman"/>
                <w:b/>
                <w:sz w:val="24"/>
                <w:szCs w:val="24"/>
              </w:rPr>
              <w:t xml:space="preserve"> </w:t>
            </w:r>
          </w:p>
        </w:tc>
        <w:tc>
          <w:tcPr>
            <w:tcW w:w="900" w:type="dxa"/>
            <w:tcBorders>
              <w:top w:val="nil"/>
              <w:bottom w:val="single" w:sz="4" w:space="0" w:color="auto"/>
            </w:tcBorders>
          </w:tcPr>
          <w:p w14:paraId="3E25C80A" w14:textId="77777777" w:rsidR="00733EC8" w:rsidRPr="00264F86" w:rsidRDefault="00733EC8" w:rsidP="00483F35">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Rivers </w:t>
            </w:r>
          </w:p>
        </w:tc>
        <w:tc>
          <w:tcPr>
            <w:tcW w:w="990" w:type="dxa"/>
            <w:tcBorders>
              <w:top w:val="nil"/>
              <w:bottom w:val="single" w:sz="4" w:space="0" w:color="auto"/>
            </w:tcBorders>
          </w:tcPr>
          <w:p w14:paraId="4A780E36" w14:textId="77777777" w:rsidR="00733EC8" w:rsidRPr="00264F86" w:rsidRDefault="00733EC8" w:rsidP="00483F35">
            <w:pPr>
              <w:autoSpaceDE w:val="0"/>
              <w:autoSpaceDN w:val="0"/>
              <w:adjustRightInd w:val="0"/>
              <w:jc w:val="both"/>
              <w:rPr>
                <w:rFonts w:ascii="Times New Roman" w:hAnsi="Times New Roman"/>
                <w:b/>
                <w:sz w:val="24"/>
                <w:szCs w:val="24"/>
              </w:rPr>
            </w:pPr>
            <w:r w:rsidRPr="000F003E">
              <w:rPr>
                <w:rFonts w:ascii="Times New Roman" w:hAnsi="Times New Roman"/>
                <w:b/>
                <w:szCs w:val="24"/>
              </w:rPr>
              <w:t xml:space="preserve">Bayelsa </w:t>
            </w:r>
          </w:p>
        </w:tc>
        <w:tc>
          <w:tcPr>
            <w:tcW w:w="900" w:type="dxa"/>
            <w:tcBorders>
              <w:top w:val="nil"/>
              <w:bottom w:val="single" w:sz="4" w:space="0" w:color="auto"/>
            </w:tcBorders>
          </w:tcPr>
          <w:p w14:paraId="7AC5FAA4" w14:textId="77777777" w:rsidR="00733EC8" w:rsidRPr="00264F86" w:rsidRDefault="00733EC8" w:rsidP="00483F35">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Rivers </w:t>
            </w:r>
          </w:p>
        </w:tc>
        <w:tc>
          <w:tcPr>
            <w:tcW w:w="990" w:type="dxa"/>
            <w:tcBorders>
              <w:top w:val="nil"/>
              <w:bottom w:val="single" w:sz="4" w:space="0" w:color="auto"/>
            </w:tcBorders>
          </w:tcPr>
          <w:p w14:paraId="182D5B4B" w14:textId="77777777" w:rsidR="00733EC8" w:rsidRPr="00264F86" w:rsidRDefault="00733EC8" w:rsidP="00483F35">
            <w:pPr>
              <w:autoSpaceDE w:val="0"/>
              <w:autoSpaceDN w:val="0"/>
              <w:adjustRightInd w:val="0"/>
              <w:jc w:val="both"/>
              <w:rPr>
                <w:rFonts w:ascii="Times New Roman" w:hAnsi="Times New Roman"/>
                <w:b/>
                <w:sz w:val="24"/>
                <w:szCs w:val="24"/>
              </w:rPr>
            </w:pPr>
            <w:r w:rsidRPr="000F003E">
              <w:rPr>
                <w:rFonts w:ascii="Times New Roman" w:hAnsi="Times New Roman"/>
                <w:b/>
                <w:szCs w:val="24"/>
              </w:rPr>
              <w:t xml:space="preserve">Bayelsa </w:t>
            </w:r>
          </w:p>
        </w:tc>
        <w:tc>
          <w:tcPr>
            <w:tcW w:w="810" w:type="dxa"/>
            <w:tcBorders>
              <w:top w:val="nil"/>
              <w:bottom w:val="single" w:sz="4" w:space="0" w:color="auto"/>
            </w:tcBorders>
          </w:tcPr>
          <w:p w14:paraId="1F140D83" w14:textId="77777777" w:rsidR="00733EC8" w:rsidRPr="00264F86" w:rsidRDefault="00733EC8" w:rsidP="00483F35">
            <w:pPr>
              <w:autoSpaceDE w:val="0"/>
              <w:autoSpaceDN w:val="0"/>
              <w:adjustRightInd w:val="0"/>
              <w:jc w:val="both"/>
              <w:rPr>
                <w:rFonts w:ascii="Times New Roman" w:hAnsi="Times New Roman"/>
                <w:b/>
                <w:sz w:val="24"/>
                <w:szCs w:val="24"/>
              </w:rPr>
            </w:pPr>
            <w:r>
              <w:rPr>
                <w:rFonts w:ascii="Times New Roman" w:hAnsi="Times New Roman"/>
                <w:b/>
                <w:sz w:val="24"/>
                <w:szCs w:val="24"/>
              </w:rPr>
              <w:t>Total Freq.</w:t>
            </w:r>
          </w:p>
        </w:tc>
        <w:tc>
          <w:tcPr>
            <w:tcW w:w="1170" w:type="dxa"/>
            <w:tcBorders>
              <w:top w:val="nil"/>
              <w:bottom w:val="single" w:sz="4" w:space="0" w:color="auto"/>
            </w:tcBorders>
          </w:tcPr>
          <w:p w14:paraId="5F571615" w14:textId="77777777" w:rsidR="00733EC8"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RRI           Ranking</w:t>
            </w:r>
          </w:p>
          <w:p w14:paraId="2AF70603" w14:textId="77777777" w:rsidR="00733EC8" w:rsidRPr="00161286" w:rsidRDefault="00733EC8" w:rsidP="00483F35">
            <w:pPr>
              <w:autoSpaceDE w:val="0"/>
              <w:autoSpaceDN w:val="0"/>
              <w:adjustRightInd w:val="0"/>
              <w:jc w:val="center"/>
              <w:rPr>
                <w:rFonts w:ascii="Times New Roman" w:hAnsi="Times New Roman"/>
                <w:b/>
                <w:sz w:val="10"/>
                <w:szCs w:val="24"/>
              </w:rPr>
            </w:pPr>
          </w:p>
        </w:tc>
      </w:tr>
      <w:tr w:rsidR="00733EC8" w14:paraId="53A4C297" w14:textId="77777777" w:rsidTr="00483F35">
        <w:tc>
          <w:tcPr>
            <w:tcW w:w="1440" w:type="dxa"/>
            <w:tcBorders>
              <w:top w:val="single" w:sz="4" w:space="0" w:color="auto"/>
            </w:tcBorders>
          </w:tcPr>
          <w:p w14:paraId="7AC64FA0" w14:textId="77777777" w:rsidR="00733EC8" w:rsidRDefault="00733EC8" w:rsidP="00483F35">
            <w:pPr>
              <w:autoSpaceDE w:val="0"/>
              <w:autoSpaceDN w:val="0"/>
              <w:adjustRightInd w:val="0"/>
              <w:jc w:val="both"/>
              <w:rPr>
                <w:rFonts w:ascii="Times New Roman" w:hAnsi="Times New Roman"/>
                <w:sz w:val="24"/>
                <w:szCs w:val="24"/>
              </w:rPr>
            </w:pPr>
            <w:r>
              <w:rPr>
                <w:rFonts w:ascii="Times New Roman" w:hAnsi="Times New Roman"/>
                <w:sz w:val="24"/>
                <w:szCs w:val="24"/>
              </w:rPr>
              <w:t>Tidal Effects</w:t>
            </w:r>
          </w:p>
        </w:tc>
        <w:tc>
          <w:tcPr>
            <w:tcW w:w="900" w:type="dxa"/>
            <w:tcBorders>
              <w:top w:val="single" w:sz="4" w:space="0" w:color="auto"/>
            </w:tcBorders>
          </w:tcPr>
          <w:p w14:paraId="24E9A610"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Borders>
              <w:top w:val="single" w:sz="4" w:space="0" w:color="auto"/>
            </w:tcBorders>
          </w:tcPr>
          <w:p w14:paraId="32946DE2" w14:textId="77777777" w:rsidR="00733EC8" w:rsidRPr="00407E9B"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 (7%)</w:t>
            </w:r>
          </w:p>
        </w:tc>
        <w:tc>
          <w:tcPr>
            <w:tcW w:w="900" w:type="dxa"/>
            <w:gridSpan w:val="2"/>
            <w:tcBorders>
              <w:top w:val="single" w:sz="4" w:space="0" w:color="auto"/>
            </w:tcBorders>
          </w:tcPr>
          <w:p w14:paraId="0348482E"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 (7%)</w:t>
            </w:r>
          </w:p>
        </w:tc>
        <w:tc>
          <w:tcPr>
            <w:tcW w:w="990" w:type="dxa"/>
            <w:tcBorders>
              <w:top w:val="single" w:sz="4" w:space="0" w:color="auto"/>
            </w:tcBorders>
          </w:tcPr>
          <w:p w14:paraId="0705AE5C"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7 (4%)</w:t>
            </w:r>
          </w:p>
        </w:tc>
        <w:tc>
          <w:tcPr>
            <w:tcW w:w="900" w:type="dxa"/>
            <w:tcBorders>
              <w:top w:val="single" w:sz="4" w:space="0" w:color="auto"/>
            </w:tcBorders>
          </w:tcPr>
          <w:p w14:paraId="7FFEA1E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23 (15%)</w:t>
            </w:r>
          </w:p>
        </w:tc>
        <w:tc>
          <w:tcPr>
            <w:tcW w:w="990" w:type="dxa"/>
            <w:tcBorders>
              <w:top w:val="single" w:sz="4" w:space="0" w:color="auto"/>
            </w:tcBorders>
          </w:tcPr>
          <w:p w14:paraId="6695879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45 (25%)</w:t>
            </w:r>
          </w:p>
        </w:tc>
        <w:tc>
          <w:tcPr>
            <w:tcW w:w="900" w:type="dxa"/>
            <w:tcBorders>
              <w:top w:val="single" w:sz="4" w:space="0" w:color="auto"/>
            </w:tcBorders>
          </w:tcPr>
          <w:p w14:paraId="117F08B8"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111 (71%)</w:t>
            </w:r>
          </w:p>
        </w:tc>
        <w:tc>
          <w:tcPr>
            <w:tcW w:w="990" w:type="dxa"/>
            <w:tcBorders>
              <w:top w:val="single" w:sz="4" w:space="0" w:color="auto"/>
            </w:tcBorders>
          </w:tcPr>
          <w:p w14:paraId="517E270D"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91 (50%)</w:t>
            </w:r>
          </w:p>
        </w:tc>
        <w:tc>
          <w:tcPr>
            <w:tcW w:w="900" w:type="dxa"/>
            <w:tcBorders>
              <w:top w:val="single" w:sz="4" w:space="0" w:color="auto"/>
            </w:tcBorders>
          </w:tcPr>
          <w:p w14:paraId="6FACFE01"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 (7%)</w:t>
            </w:r>
          </w:p>
          <w:p w14:paraId="5A9955DC" w14:textId="77777777" w:rsidR="00733EC8" w:rsidRPr="00411496" w:rsidRDefault="00733EC8" w:rsidP="00483F35">
            <w:pPr>
              <w:autoSpaceDE w:val="0"/>
              <w:autoSpaceDN w:val="0"/>
              <w:adjustRightInd w:val="0"/>
              <w:rPr>
                <w:rFonts w:ascii="Times New Roman" w:hAnsi="Times New Roman"/>
                <w:sz w:val="10"/>
                <w:szCs w:val="24"/>
              </w:rPr>
            </w:pPr>
          </w:p>
        </w:tc>
        <w:tc>
          <w:tcPr>
            <w:tcW w:w="990" w:type="dxa"/>
            <w:tcBorders>
              <w:top w:val="single" w:sz="4" w:space="0" w:color="auto"/>
            </w:tcBorders>
          </w:tcPr>
          <w:p w14:paraId="477FCF89" w14:textId="77777777" w:rsidR="00733EC8" w:rsidRPr="004939DE"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25 (14%)</w:t>
            </w:r>
          </w:p>
        </w:tc>
        <w:tc>
          <w:tcPr>
            <w:tcW w:w="810" w:type="dxa"/>
            <w:tcBorders>
              <w:top w:val="single" w:sz="4" w:space="0" w:color="auto"/>
            </w:tcBorders>
          </w:tcPr>
          <w:p w14:paraId="0D4982DB"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337</w:t>
            </w:r>
          </w:p>
        </w:tc>
        <w:tc>
          <w:tcPr>
            <w:tcW w:w="1170" w:type="dxa"/>
            <w:tcBorders>
              <w:top w:val="single" w:sz="4" w:space="0" w:color="auto"/>
            </w:tcBorders>
          </w:tcPr>
          <w:p w14:paraId="582DB4FE" w14:textId="77777777" w:rsidR="00733EC8" w:rsidRDefault="00733EC8" w:rsidP="00483F35">
            <w:pPr>
              <w:autoSpaceDE w:val="0"/>
              <w:autoSpaceDN w:val="0"/>
              <w:adjustRightInd w:val="0"/>
              <w:jc w:val="center"/>
              <w:rPr>
                <w:rFonts w:ascii="Times New Roman" w:hAnsi="Times New Roman"/>
                <w:b/>
                <w:sz w:val="24"/>
                <w:szCs w:val="24"/>
              </w:rPr>
            </w:pPr>
            <w:r w:rsidRPr="00C11B8E">
              <w:rPr>
                <w:rFonts w:ascii="Times New Roman" w:hAnsi="Times New Roman"/>
                <w:b/>
                <w:sz w:val="24"/>
                <w:szCs w:val="24"/>
              </w:rPr>
              <w:t>0.74</w:t>
            </w:r>
          </w:p>
          <w:p w14:paraId="6C855F45" w14:textId="77777777" w:rsidR="00733EC8" w:rsidRPr="00C11B8E"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(4</w:t>
            </w:r>
            <w:r w:rsidRPr="00C11B8E">
              <w:rPr>
                <w:rFonts w:ascii="Times New Roman" w:hAnsi="Times New Roman"/>
                <w:b/>
                <w:sz w:val="24"/>
                <w:szCs w:val="24"/>
                <w:vertAlign w:val="superscript"/>
              </w:rPr>
              <w:t>th</w:t>
            </w:r>
            <w:r>
              <w:rPr>
                <w:rFonts w:ascii="Times New Roman" w:hAnsi="Times New Roman"/>
                <w:b/>
                <w:sz w:val="24"/>
                <w:szCs w:val="24"/>
              </w:rPr>
              <w:t>)</w:t>
            </w:r>
          </w:p>
        </w:tc>
      </w:tr>
      <w:tr w:rsidR="00733EC8" w14:paraId="3EBF01BE" w14:textId="77777777" w:rsidTr="00483F35">
        <w:tc>
          <w:tcPr>
            <w:tcW w:w="1440" w:type="dxa"/>
          </w:tcPr>
          <w:p w14:paraId="72CA03AD" w14:textId="77777777" w:rsidR="00733EC8" w:rsidRDefault="00733EC8" w:rsidP="00483F35">
            <w:pPr>
              <w:autoSpaceDE w:val="0"/>
              <w:autoSpaceDN w:val="0"/>
              <w:adjustRightInd w:val="0"/>
              <w:jc w:val="both"/>
              <w:rPr>
                <w:rFonts w:ascii="Times New Roman" w:hAnsi="Times New Roman"/>
                <w:sz w:val="24"/>
                <w:szCs w:val="24"/>
              </w:rPr>
            </w:pPr>
            <w:r>
              <w:rPr>
                <w:rFonts w:ascii="Times New Roman" w:hAnsi="Times New Roman"/>
                <w:sz w:val="24"/>
                <w:szCs w:val="24"/>
              </w:rPr>
              <w:t>Bush Fire</w:t>
            </w:r>
          </w:p>
          <w:p w14:paraId="4AFC0878" w14:textId="77777777" w:rsidR="00733EC8" w:rsidRPr="004F3718" w:rsidRDefault="00733EC8" w:rsidP="00483F35">
            <w:pPr>
              <w:autoSpaceDE w:val="0"/>
              <w:autoSpaceDN w:val="0"/>
              <w:adjustRightInd w:val="0"/>
              <w:jc w:val="both"/>
              <w:rPr>
                <w:rFonts w:ascii="Times New Roman" w:hAnsi="Times New Roman"/>
                <w:sz w:val="14"/>
                <w:szCs w:val="24"/>
              </w:rPr>
            </w:pPr>
          </w:p>
        </w:tc>
        <w:tc>
          <w:tcPr>
            <w:tcW w:w="900" w:type="dxa"/>
          </w:tcPr>
          <w:p w14:paraId="41DDD0EA"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134 (86%)</w:t>
            </w:r>
          </w:p>
        </w:tc>
        <w:tc>
          <w:tcPr>
            <w:tcW w:w="990" w:type="dxa"/>
          </w:tcPr>
          <w:p w14:paraId="75A47B5E"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161 (89%)</w:t>
            </w:r>
          </w:p>
          <w:p w14:paraId="421DC799" w14:textId="77777777" w:rsidR="00733EC8" w:rsidRPr="004800F8" w:rsidRDefault="00733EC8" w:rsidP="00483F35">
            <w:pPr>
              <w:autoSpaceDE w:val="0"/>
              <w:autoSpaceDN w:val="0"/>
              <w:adjustRightInd w:val="0"/>
              <w:jc w:val="center"/>
              <w:rPr>
                <w:rFonts w:ascii="Times New Roman" w:hAnsi="Times New Roman"/>
                <w:sz w:val="14"/>
                <w:szCs w:val="24"/>
              </w:rPr>
            </w:pPr>
          </w:p>
        </w:tc>
        <w:tc>
          <w:tcPr>
            <w:tcW w:w="900" w:type="dxa"/>
            <w:gridSpan w:val="2"/>
          </w:tcPr>
          <w:p w14:paraId="0B7F1B91"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26513B21"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00" w:type="dxa"/>
          </w:tcPr>
          <w:p w14:paraId="15563656"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276F307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00" w:type="dxa"/>
          </w:tcPr>
          <w:p w14:paraId="6FA26FE2"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22 (14%)</w:t>
            </w:r>
          </w:p>
        </w:tc>
        <w:tc>
          <w:tcPr>
            <w:tcW w:w="990" w:type="dxa"/>
          </w:tcPr>
          <w:p w14:paraId="45AB359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20 (11%)</w:t>
            </w:r>
          </w:p>
        </w:tc>
        <w:tc>
          <w:tcPr>
            <w:tcW w:w="900" w:type="dxa"/>
          </w:tcPr>
          <w:p w14:paraId="543327A3" w14:textId="77777777" w:rsidR="00733EC8" w:rsidRPr="004E6ACF"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49846CE2"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810" w:type="dxa"/>
          </w:tcPr>
          <w:p w14:paraId="7851FDAE" w14:textId="77777777" w:rsidR="00733EC8" w:rsidRDefault="00733EC8"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337</w:t>
            </w:r>
          </w:p>
        </w:tc>
        <w:tc>
          <w:tcPr>
            <w:tcW w:w="1170" w:type="dxa"/>
          </w:tcPr>
          <w:p w14:paraId="7C7DE568" w14:textId="77777777" w:rsidR="00733EC8" w:rsidRDefault="00733EC8" w:rsidP="00483F35">
            <w:pPr>
              <w:autoSpaceDE w:val="0"/>
              <w:autoSpaceDN w:val="0"/>
              <w:adjustRightInd w:val="0"/>
              <w:jc w:val="center"/>
              <w:rPr>
                <w:rFonts w:ascii="Times New Roman" w:hAnsi="Times New Roman"/>
                <w:b/>
                <w:sz w:val="24"/>
                <w:szCs w:val="24"/>
              </w:rPr>
            </w:pPr>
            <w:r w:rsidRPr="00C11B8E">
              <w:rPr>
                <w:rFonts w:ascii="Times New Roman" w:hAnsi="Times New Roman"/>
                <w:b/>
                <w:sz w:val="24"/>
                <w:szCs w:val="24"/>
              </w:rPr>
              <w:t>0.27</w:t>
            </w:r>
          </w:p>
          <w:p w14:paraId="04D6C7E3" w14:textId="77777777" w:rsidR="00733EC8" w:rsidRPr="00C11B8E"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(7</w:t>
            </w:r>
            <w:r w:rsidRPr="00C11B8E">
              <w:rPr>
                <w:rFonts w:ascii="Times New Roman" w:hAnsi="Times New Roman"/>
                <w:b/>
                <w:sz w:val="24"/>
                <w:szCs w:val="24"/>
                <w:vertAlign w:val="superscript"/>
              </w:rPr>
              <w:t>th</w:t>
            </w:r>
            <w:r>
              <w:rPr>
                <w:rFonts w:ascii="Times New Roman" w:hAnsi="Times New Roman"/>
                <w:b/>
                <w:sz w:val="24"/>
                <w:szCs w:val="24"/>
              </w:rPr>
              <w:t>)</w:t>
            </w:r>
          </w:p>
        </w:tc>
      </w:tr>
      <w:tr w:rsidR="00733EC8" w14:paraId="18FB70F6" w14:textId="77777777" w:rsidTr="00483F35">
        <w:tc>
          <w:tcPr>
            <w:tcW w:w="1440" w:type="dxa"/>
          </w:tcPr>
          <w:p w14:paraId="40B2AB4B" w14:textId="77777777" w:rsidR="00733EC8" w:rsidRDefault="00733EC8" w:rsidP="00483F35">
            <w:pPr>
              <w:autoSpaceDE w:val="0"/>
              <w:autoSpaceDN w:val="0"/>
              <w:adjustRightInd w:val="0"/>
              <w:jc w:val="both"/>
              <w:rPr>
                <w:rFonts w:ascii="Times New Roman" w:hAnsi="Times New Roman"/>
                <w:sz w:val="24"/>
                <w:szCs w:val="24"/>
              </w:rPr>
            </w:pPr>
            <w:r>
              <w:rPr>
                <w:rFonts w:ascii="Times New Roman" w:hAnsi="Times New Roman"/>
                <w:sz w:val="24"/>
                <w:szCs w:val="24"/>
              </w:rPr>
              <w:t xml:space="preserve">Logging </w:t>
            </w:r>
          </w:p>
          <w:p w14:paraId="21622AD9" w14:textId="77777777" w:rsidR="00733EC8" w:rsidRPr="004F3718" w:rsidRDefault="00733EC8" w:rsidP="00483F35">
            <w:pPr>
              <w:autoSpaceDE w:val="0"/>
              <w:autoSpaceDN w:val="0"/>
              <w:adjustRightInd w:val="0"/>
              <w:jc w:val="both"/>
              <w:rPr>
                <w:rFonts w:ascii="Times New Roman" w:hAnsi="Times New Roman"/>
                <w:sz w:val="14"/>
                <w:szCs w:val="24"/>
              </w:rPr>
            </w:pPr>
          </w:p>
        </w:tc>
        <w:tc>
          <w:tcPr>
            <w:tcW w:w="900" w:type="dxa"/>
          </w:tcPr>
          <w:p w14:paraId="4E128F10" w14:textId="77777777" w:rsidR="00733EC8" w:rsidRDefault="00733EC8"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3907368C"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00" w:type="dxa"/>
            <w:gridSpan w:val="2"/>
          </w:tcPr>
          <w:p w14:paraId="64C47B9D"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60C71F4F"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7 (4%)</w:t>
            </w:r>
          </w:p>
        </w:tc>
        <w:tc>
          <w:tcPr>
            <w:tcW w:w="900" w:type="dxa"/>
          </w:tcPr>
          <w:p w14:paraId="5208FB68"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45 (29%)</w:t>
            </w:r>
          </w:p>
        </w:tc>
        <w:tc>
          <w:tcPr>
            <w:tcW w:w="990" w:type="dxa"/>
          </w:tcPr>
          <w:p w14:paraId="3DA1993A"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12 (7%)</w:t>
            </w:r>
          </w:p>
          <w:p w14:paraId="7B8014BE" w14:textId="77777777" w:rsidR="00733EC8" w:rsidRPr="00EF5A27" w:rsidRDefault="00733EC8" w:rsidP="00483F35">
            <w:pPr>
              <w:autoSpaceDE w:val="0"/>
              <w:autoSpaceDN w:val="0"/>
              <w:adjustRightInd w:val="0"/>
              <w:jc w:val="center"/>
              <w:rPr>
                <w:rFonts w:ascii="Times New Roman" w:hAnsi="Times New Roman"/>
                <w:sz w:val="14"/>
                <w:szCs w:val="24"/>
              </w:rPr>
            </w:pPr>
          </w:p>
        </w:tc>
        <w:tc>
          <w:tcPr>
            <w:tcW w:w="900" w:type="dxa"/>
          </w:tcPr>
          <w:p w14:paraId="7BA8B295"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 111 (71%)</w:t>
            </w:r>
          </w:p>
        </w:tc>
        <w:tc>
          <w:tcPr>
            <w:tcW w:w="990" w:type="dxa"/>
          </w:tcPr>
          <w:p w14:paraId="11D7FE2F"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110 (61%)</w:t>
            </w:r>
          </w:p>
        </w:tc>
        <w:tc>
          <w:tcPr>
            <w:tcW w:w="900" w:type="dxa"/>
          </w:tcPr>
          <w:p w14:paraId="263F14E3" w14:textId="77777777" w:rsidR="00733EC8" w:rsidRPr="00D87563"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5D110AB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52 (29%)</w:t>
            </w:r>
          </w:p>
        </w:tc>
        <w:tc>
          <w:tcPr>
            <w:tcW w:w="810" w:type="dxa"/>
          </w:tcPr>
          <w:p w14:paraId="71D464BE" w14:textId="77777777" w:rsidR="00733EC8" w:rsidRDefault="00733EC8"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337</w:t>
            </w:r>
          </w:p>
        </w:tc>
        <w:tc>
          <w:tcPr>
            <w:tcW w:w="1170" w:type="dxa"/>
          </w:tcPr>
          <w:p w14:paraId="7C29C68E" w14:textId="77777777" w:rsidR="00733EC8" w:rsidRDefault="00733EC8" w:rsidP="00483F35">
            <w:pPr>
              <w:autoSpaceDE w:val="0"/>
              <w:autoSpaceDN w:val="0"/>
              <w:adjustRightInd w:val="0"/>
              <w:jc w:val="center"/>
              <w:rPr>
                <w:rFonts w:ascii="Times New Roman" w:hAnsi="Times New Roman"/>
                <w:b/>
                <w:sz w:val="24"/>
                <w:szCs w:val="24"/>
              </w:rPr>
            </w:pPr>
            <w:r w:rsidRPr="00101962">
              <w:rPr>
                <w:rFonts w:ascii="Times New Roman" w:hAnsi="Times New Roman"/>
                <w:b/>
                <w:sz w:val="24"/>
                <w:szCs w:val="24"/>
              </w:rPr>
              <w:t>0.79</w:t>
            </w:r>
          </w:p>
          <w:p w14:paraId="69B32766" w14:textId="77777777" w:rsidR="00733EC8" w:rsidRPr="00101962"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(3</w:t>
            </w:r>
            <w:r w:rsidRPr="00101962">
              <w:rPr>
                <w:rFonts w:ascii="Times New Roman" w:hAnsi="Times New Roman"/>
                <w:b/>
                <w:sz w:val="24"/>
                <w:szCs w:val="24"/>
                <w:vertAlign w:val="superscript"/>
              </w:rPr>
              <w:t>rd</w:t>
            </w:r>
            <w:r>
              <w:rPr>
                <w:rFonts w:ascii="Times New Roman" w:hAnsi="Times New Roman"/>
                <w:b/>
                <w:sz w:val="24"/>
                <w:szCs w:val="24"/>
              </w:rPr>
              <w:t>)</w:t>
            </w:r>
          </w:p>
        </w:tc>
      </w:tr>
      <w:tr w:rsidR="00733EC8" w14:paraId="71DEADEA" w14:textId="77777777" w:rsidTr="00483F35">
        <w:tc>
          <w:tcPr>
            <w:tcW w:w="1440" w:type="dxa"/>
          </w:tcPr>
          <w:p w14:paraId="01295F58" w14:textId="77777777" w:rsidR="00733EC8" w:rsidRDefault="00733EC8" w:rsidP="00483F35">
            <w:pPr>
              <w:autoSpaceDE w:val="0"/>
              <w:autoSpaceDN w:val="0"/>
              <w:adjustRightInd w:val="0"/>
              <w:jc w:val="both"/>
              <w:rPr>
                <w:rFonts w:ascii="Times New Roman" w:hAnsi="Times New Roman"/>
                <w:sz w:val="24"/>
                <w:szCs w:val="24"/>
              </w:rPr>
            </w:pPr>
            <w:r>
              <w:rPr>
                <w:rFonts w:ascii="Times New Roman" w:hAnsi="Times New Roman"/>
                <w:sz w:val="24"/>
                <w:szCs w:val="24"/>
              </w:rPr>
              <w:t>Oil Exploration</w:t>
            </w:r>
          </w:p>
          <w:p w14:paraId="2B3B5B82" w14:textId="77777777" w:rsidR="00733EC8" w:rsidRPr="004F3718" w:rsidRDefault="00733EC8" w:rsidP="00483F35">
            <w:pPr>
              <w:autoSpaceDE w:val="0"/>
              <w:autoSpaceDN w:val="0"/>
              <w:adjustRightInd w:val="0"/>
              <w:jc w:val="both"/>
              <w:rPr>
                <w:rFonts w:ascii="Times New Roman" w:hAnsi="Times New Roman"/>
                <w:sz w:val="14"/>
                <w:szCs w:val="24"/>
              </w:rPr>
            </w:pPr>
          </w:p>
        </w:tc>
        <w:tc>
          <w:tcPr>
            <w:tcW w:w="900" w:type="dxa"/>
          </w:tcPr>
          <w:p w14:paraId="1F3247F9"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66FFCDD8"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 (7%)</w:t>
            </w:r>
          </w:p>
        </w:tc>
        <w:tc>
          <w:tcPr>
            <w:tcW w:w="900" w:type="dxa"/>
            <w:gridSpan w:val="2"/>
          </w:tcPr>
          <w:p w14:paraId="7E88CA5E"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60C87A1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00" w:type="dxa"/>
          </w:tcPr>
          <w:p w14:paraId="0600038C"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 (7%)</w:t>
            </w:r>
          </w:p>
        </w:tc>
        <w:tc>
          <w:tcPr>
            <w:tcW w:w="990" w:type="dxa"/>
          </w:tcPr>
          <w:p w14:paraId="4994C0C4"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7 (4%)</w:t>
            </w:r>
          </w:p>
        </w:tc>
        <w:tc>
          <w:tcPr>
            <w:tcW w:w="900" w:type="dxa"/>
          </w:tcPr>
          <w:p w14:paraId="6AB3EDCD"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 11 (7%)</w:t>
            </w:r>
          </w:p>
        </w:tc>
        <w:tc>
          <w:tcPr>
            <w:tcW w:w="990" w:type="dxa"/>
          </w:tcPr>
          <w:p w14:paraId="13B6C012"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38 (21%) </w:t>
            </w:r>
          </w:p>
        </w:tc>
        <w:tc>
          <w:tcPr>
            <w:tcW w:w="900" w:type="dxa"/>
          </w:tcPr>
          <w:p w14:paraId="64F329E9" w14:textId="77777777" w:rsidR="00733EC8" w:rsidRPr="00883D80"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134 (86%)</w:t>
            </w:r>
          </w:p>
        </w:tc>
        <w:tc>
          <w:tcPr>
            <w:tcW w:w="990" w:type="dxa"/>
          </w:tcPr>
          <w:p w14:paraId="5F9BB266"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123 (68%)</w:t>
            </w:r>
          </w:p>
        </w:tc>
        <w:tc>
          <w:tcPr>
            <w:tcW w:w="810" w:type="dxa"/>
          </w:tcPr>
          <w:p w14:paraId="7317DC5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337</w:t>
            </w:r>
          </w:p>
        </w:tc>
        <w:tc>
          <w:tcPr>
            <w:tcW w:w="1170" w:type="dxa"/>
          </w:tcPr>
          <w:p w14:paraId="756C6438" w14:textId="77777777" w:rsidR="00733EC8" w:rsidRPr="00101962" w:rsidRDefault="00733EC8" w:rsidP="00483F35">
            <w:pPr>
              <w:autoSpaceDE w:val="0"/>
              <w:autoSpaceDN w:val="0"/>
              <w:adjustRightInd w:val="0"/>
              <w:jc w:val="center"/>
              <w:rPr>
                <w:rFonts w:ascii="Times New Roman" w:hAnsi="Times New Roman"/>
                <w:b/>
                <w:sz w:val="24"/>
                <w:szCs w:val="24"/>
              </w:rPr>
            </w:pPr>
            <w:r w:rsidRPr="00101962">
              <w:rPr>
                <w:rFonts w:ascii="Times New Roman" w:hAnsi="Times New Roman"/>
                <w:b/>
                <w:sz w:val="24"/>
                <w:szCs w:val="24"/>
              </w:rPr>
              <w:t xml:space="preserve">0.92 </w:t>
            </w:r>
          </w:p>
          <w:p w14:paraId="5A4DB326" w14:textId="77777777" w:rsidR="00733EC8" w:rsidRDefault="00733EC8" w:rsidP="00483F35">
            <w:pPr>
              <w:autoSpaceDE w:val="0"/>
              <w:autoSpaceDN w:val="0"/>
              <w:adjustRightInd w:val="0"/>
              <w:jc w:val="center"/>
              <w:rPr>
                <w:rFonts w:ascii="Times New Roman" w:hAnsi="Times New Roman"/>
                <w:sz w:val="24"/>
                <w:szCs w:val="24"/>
              </w:rPr>
            </w:pPr>
            <w:r w:rsidRPr="00101962">
              <w:rPr>
                <w:rFonts w:ascii="Times New Roman" w:hAnsi="Times New Roman"/>
                <w:b/>
                <w:sz w:val="24"/>
                <w:szCs w:val="24"/>
              </w:rPr>
              <w:t>(1</w:t>
            </w:r>
            <w:r w:rsidRPr="00101962">
              <w:rPr>
                <w:rFonts w:ascii="Times New Roman" w:hAnsi="Times New Roman"/>
                <w:b/>
                <w:sz w:val="24"/>
                <w:szCs w:val="24"/>
                <w:vertAlign w:val="superscript"/>
              </w:rPr>
              <w:t>st</w:t>
            </w:r>
            <w:r w:rsidRPr="00101962">
              <w:rPr>
                <w:rFonts w:ascii="Times New Roman" w:hAnsi="Times New Roman"/>
                <w:b/>
                <w:sz w:val="24"/>
                <w:szCs w:val="24"/>
              </w:rPr>
              <w:t>)</w:t>
            </w:r>
          </w:p>
        </w:tc>
      </w:tr>
      <w:tr w:rsidR="00733EC8" w14:paraId="5F1CB916" w14:textId="77777777" w:rsidTr="00483F35">
        <w:trPr>
          <w:trHeight w:val="420"/>
        </w:trPr>
        <w:tc>
          <w:tcPr>
            <w:tcW w:w="1440" w:type="dxa"/>
          </w:tcPr>
          <w:p w14:paraId="06C2E68B" w14:textId="77777777" w:rsidR="00733EC8" w:rsidRDefault="00733EC8" w:rsidP="00483F35">
            <w:pPr>
              <w:autoSpaceDE w:val="0"/>
              <w:autoSpaceDN w:val="0"/>
              <w:adjustRightInd w:val="0"/>
              <w:jc w:val="both"/>
              <w:rPr>
                <w:rFonts w:ascii="Times New Roman" w:hAnsi="Times New Roman"/>
                <w:sz w:val="24"/>
                <w:szCs w:val="24"/>
              </w:rPr>
            </w:pPr>
            <w:r>
              <w:rPr>
                <w:rFonts w:ascii="Times New Roman" w:hAnsi="Times New Roman"/>
                <w:sz w:val="24"/>
                <w:szCs w:val="24"/>
              </w:rPr>
              <w:t xml:space="preserve">Biotechnology </w:t>
            </w:r>
          </w:p>
          <w:p w14:paraId="7E1311C6" w14:textId="77777777" w:rsidR="00733EC8" w:rsidRPr="004F3718" w:rsidRDefault="00733EC8" w:rsidP="00483F35">
            <w:pPr>
              <w:autoSpaceDE w:val="0"/>
              <w:autoSpaceDN w:val="0"/>
              <w:adjustRightInd w:val="0"/>
              <w:jc w:val="both"/>
              <w:rPr>
                <w:rFonts w:ascii="Times New Roman" w:hAnsi="Times New Roman"/>
                <w:sz w:val="14"/>
                <w:szCs w:val="24"/>
              </w:rPr>
            </w:pPr>
          </w:p>
        </w:tc>
        <w:tc>
          <w:tcPr>
            <w:tcW w:w="900" w:type="dxa"/>
          </w:tcPr>
          <w:p w14:paraId="3C9DCA5F"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111 (71%)</w:t>
            </w:r>
          </w:p>
        </w:tc>
        <w:tc>
          <w:tcPr>
            <w:tcW w:w="990" w:type="dxa"/>
          </w:tcPr>
          <w:p w14:paraId="0C6978A7"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148 (82%)</w:t>
            </w:r>
          </w:p>
        </w:tc>
        <w:tc>
          <w:tcPr>
            <w:tcW w:w="900" w:type="dxa"/>
            <w:gridSpan w:val="2"/>
          </w:tcPr>
          <w:p w14:paraId="454665DA"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28 (18%)</w:t>
            </w:r>
          </w:p>
        </w:tc>
        <w:tc>
          <w:tcPr>
            <w:tcW w:w="990" w:type="dxa"/>
          </w:tcPr>
          <w:p w14:paraId="38BE251A"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00" w:type="dxa"/>
          </w:tcPr>
          <w:p w14:paraId="71A2262B"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17 (11%)</w:t>
            </w:r>
          </w:p>
        </w:tc>
        <w:tc>
          <w:tcPr>
            <w:tcW w:w="990" w:type="dxa"/>
          </w:tcPr>
          <w:p w14:paraId="749F23A6"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33 (18%) </w:t>
            </w:r>
          </w:p>
        </w:tc>
        <w:tc>
          <w:tcPr>
            <w:tcW w:w="900" w:type="dxa"/>
          </w:tcPr>
          <w:p w14:paraId="18278407"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3F00C999"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00" w:type="dxa"/>
          </w:tcPr>
          <w:p w14:paraId="1C42D03F" w14:textId="77777777" w:rsidR="00733EC8" w:rsidRPr="00883D80"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4A3BB64F"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810" w:type="dxa"/>
          </w:tcPr>
          <w:p w14:paraId="6FCDE218" w14:textId="77777777" w:rsidR="00733EC8" w:rsidRDefault="00733EC8" w:rsidP="00483F35">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337</w:t>
            </w:r>
          </w:p>
        </w:tc>
        <w:tc>
          <w:tcPr>
            <w:tcW w:w="1170" w:type="dxa"/>
          </w:tcPr>
          <w:p w14:paraId="4867940D" w14:textId="77777777" w:rsidR="00733EC8" w:rsidRDefault="00733EC8" w:rsidP="00483F35">
            <w:pPr>
              <w:autoSpaceDE w:val="0"/>
              <w:autoSpaceDN w:val="0"/>
              <w:adjustRightInd w:val="0"/>
              <w:jc w:val="center"/>
              <w:rPr>
                <w:rFonts w:ascii="Times New Roman" w:hAnsi="Times New Roman"/>
                <w:b/>
                <w:sz w:val="24"/>
                <w:szCs w:val="24"/>
              </w:rPr>
            </w:pPr>
            <w:r w:rsidRPr="00C11B8E">
              <w:rPr>
                <w:rFonts w:ascii="Times New Roman" w:hAnsi="Times New Roman"/>
                <w:b/>
                <w:sz w:val="24"/>
                <w:szCs w:val="24"/>
              </w:rPr>
              <w:t>0.28</w:t>
            </w:r>
          </w:p>
          <w:p w14:paraId="48A78EC3" w14:textId="77777777" w:rsidR="00733EC8" w:rsidRPr="00C11B8E"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(6</w:t>
            </w:r>
            <w:r w:rsidRPr="00C11B8E">
              <w:rPr>
                <w:rFonts w:ascii="Times New Roman" w:hAnsi="Times New Roman"/>
                <w:b/>
                <w:sz w:val="24"/>
                <w:szCs w:val="24"/>
                <w:vertAlign w:val="superscript"/>
              </w:rPr>
              <w:t>th</w:t>
            </w:r>
            <w:r>
              <w:rPr>
                <w:rFonts w:ascii="Times New Roman" w:hAnsi="Times New Roman"/>
                <w:b/>
                <w:sz w:val="24"/>
                <w:szCs w:val="24"/>
              </w:rPr>
              <w:t>)</w:t>
            </w:r>
          </w:p>
        </w:tc>
      </w:tr>
      <w:tr w:rsidR="00733EC8" w14:paraId="6F39600B" w14:textId="77777777" w:rsidTr="00483F35">
        <w:trPr>
          <w:trHeight w:val="405"/>
        </w:trPr>
        <w:tc>
          <w:tcPr>
            <w:tcW w:w="1440" w:type="dxa"/>
          </w:tcPr>
          <w:p w14:paraId="6BF5708F" w14:textId="77777777" w:rsidR="00733EC8" w:rsidRDefault="00733EC8" w:rsidP="00483F35">
            <w:pPr>
              <w:autoSpaceDE w:val="0"/>
              <w:autoSpaceDN w:val="0"/>
              <w:adjustRightInd w:val="0"/>
              <w:jc w:val="both"/>
              <w:rPr>
                <w:rFonts w:ascii="Times New Roman" w:hAnsi="Times New Roman"/>
                <w:sz w:val="24"/>
                <w:szCs w:val="24"/>
              </w:rPr>
            </w:pPr>
            <w:r>
              <w:rPr>
                <w:rFonts w:ascii="Times New Roman" w:hAnsi="Times New Roman"/>
                <w:sz w:val="24"/>
                <w:szCs w:val="24"/>
              </w:rPr>
              <w:t>Illicit Oil Refining</w:t>
            </w:r>
          </w:p>
        </w:tc>
        <w:tc>
          <w:tcPr>
            <w:tcW w:w="900" w:type="dxa"/>
          </w:tcPr>
          <w:p w14:paraId="41EC098C"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17371368"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 (7%)</w:t>
            </w:r>
          </w:p>
        </w:tc>
        <w:tc>
          <w:tcPr>
            <w:tcW w:w="900" w:type="dxa"/>
            <w:gridSpan w:val="2"/>
          </w:tcPr>
          <w:p w14:paraId="36F04490"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6 (4%)</w:t>
            </w:r>
          </w:p>
        </w:tc>
        <w:tc>
          <w:tcPr>
            <w:tcW w:w="990" w:type="dxa"/>
          </w:tcPr>
          <w:p w14:paraId="3A83229A"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13 (7%))</w:t>
            </w:r>
          </w:p>
        </w:tc>
        <w:tc>
          <w:tcPr>
            <w:tcW w:w="900" w:type="dxa"/>
          </w:tcPr>
          <w:p w14:paraId="53D34310"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6 (4%)</w:t>
            </w:r>
          </w:p>
        </w:tc>
        <w:tc>
          <w:tcPr>
            <w:tcW w:w="990" w:type="dxa"/>
          </w:tcPr>
          <w:p w14:paraId="6AC0A3D6"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91 (50%)</w:t>
            </w:r>
          </w:p>
        </w:tc>
        <w:tc>
          <w:tcPr>
            <w:tcW w:w="900" w:type="dxa"/>
          </w:tcPr>
          <w:p w14:paraId="7B5A3F93"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 (7%)</w:t>
            </w:r>
          </w:p>
        </w:tc>
        <w:tc>
          <w:tcPr>
            <w:tcW w:w="990" w:type="dxa"/>
          </w:tcPr>
          <w:p w14:paraId="5045EDC0"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38 (21%</w:t>
            </w:r>
            <w:r w:rsidR="006D3C38">
              <w:rPr>
                <w:rFonts w:ascii="Times New Roman" w:hAnsi="Times New Roman"/>
                <w:sz w:val="24"/>
                <w:szCs w:val="24"/>
              </w:rPr>
              <w:t>)</w:t>
            </w:r>
          </w:p>
          <w:p w14:paraId="25BEC8A0" w14:textId="77777777" w:rsidR="00733EC8" w:rsidRPr="00A034B4" w:rsidRDefault="00733EC8" w:rsidP="00483F35">
            <w:pPr>
              <w:autoSpaceDE w:val="0"/>
              <w:autoSpaceDN w:val="0"/>
              <w:adjustRightInd w:val="0"/>
              <w:jc w:val="center"/>
              <w:rPr>
                <w:rFonts w:ascii="Times New Roman" w:hAnsi="Times New Roman"/>
                <w:sz w:val="14"/>
                <w:szCs w:val="24"/>
              </w:rPr>
            </w:pPr>
          </w:p>
        </w:tc>
        <w:tc>
          <w:tcPr>
            <w:tcW w:w="900" w:type="dxa"/>
          </w:tcPr>
          <w:p w14:paraId="23236EDB"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134 (86%) </w:t>
            </w:r>
          </w:p>
        </w:tc>
        <w:tc>
          <w:tcPr>
            <w:tcW w:w="990" w:type="dxa"/>
          </w:tcPr>
          <w:p w14:paraId="21607B09"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25 (14%)</w:t>
            </w:r>
          </w:p>
        </w:tc>
        <w:tc>
          <w:tcPr>
            <w:tcW w:w="810" w:type="dxa"/>
          </w:tcPr>
          <w:p w14:paraId="0D5CD9F2"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337</w:t>
            </w:r>
          </w:p>
        </w:tc>
        <w:tc>
          <w:tcPr>
            <w:tcW w:w="1170" w:type="dxa"/>
          </w:tcPr>
          <w:p w14:paraId="3E21CBF1" w14:textId="77777777" w:rsidR="00733EC8" w:rsidRPr="00101962" w:rsidRDefault="00733EC8" w:rsidP="00483F35">
            <w:pPr>
              <w:autoSpaceDE w:val="0"/>
              <w:autoSpaceDN w:val="0"/>
              <w:adjustRightInd w:val="0"/>
              <w:jc w:val="center"/>
              <w:rPr>
                <w:rFonts w:ascii="Times New Roman" w:hAnsi="Times New Roman"/>
                <w:b/>
                <w:sz w:val="24"/>
                <w:szCs w:val="24"/>
              </w:rPr>
            </w:pPr>
            <w:r w:rsidRPr="00101962">
              <w:rPr>
                <w:rFonts w:ascii="Times New Roman" w:hAnsi="Times New Roman"/>
                <w:b/>
                <w:sz w:val="24"/>
                <w:szCs w:val="24"/>
              </w:rPr>
              <w:t>0.80</w:t>
            </w:r>
          </w:p>
          <w:p w14:paraId="3199AAC7" w14:textId="77777777" w:rsidR="00733EC8" w:rsidRDefault="00733EC8" w:rsidP="00483F35">
            <w:pPr>
              <w:autoSpaceDE w:val="0"/>
              <w:autoSpaceDN w:val="0"/>
              <w:adjustRightInd w:val="0"/>
              <w:jc w:val="center"/>
              <w:rPr>
                <w:rFonts w:ascii="Times New Roman" w:hAnsi="Times New Roman"/>
                <w:sz w:val="24"/>
                <w:szCs w:val="24"/>
              </w:rPr>
            </w:pPr>
            <w:r w:rsidRPr="00101962">
              <w:rPr>
                <w:rFonts w:ascii="Times New Roman" w:hAnsi="Times New Roman"/>
                <w:b/>
                <w:sz w:val="24"/>
                <w:szCs w:val="24"/>
              </w:rPr>
              <w:t xml:space="preserve"> (2</w:t>
            </w:r>
            <w:r w:rsidRPr="00101962">
              <w:rPr>
                <w:rFonts w:ascii="Times New Roman" w:hAnsi="Times New Roman"/>
                <w:b/>
                <w:sz w:val="24"/>
                <w:szCs w:val="24"/>
                <w:vertAlign w:val="superscript"/>
              </w:rPr>
              <w:t>nd</w:t>
            </w:r>
            <w:r w:rsidRPr="00101962">
              <w:rPr>
                <w:rFonts w:ascii="Times New Roman" w:hAnsi="Times New Roman"/>
                <w:b/>
                <w:sz w:val="24"/>
                <w:szCs w:val="24"/>
              </w:rPr>
              <w:t>)</w:t>
            </w:r>
          </w:p>
        </w:tc>
      </w:tr>
      <w:tr w:rsidR="00733EC8" w14:paraId="33E8A8D9" w14:textId="77777777" w:rsidTr="00483F35">
        <w:trPr>
          <w:trHeight w:val="660"/>
        </w:trPr>
        <w:tc>
          <w:tcPr>
            <w:tcW w:w="1440" w:type="dxa"/>
          </w:tcPr>
          <w:p w14:paraId="07267857" w14:textId="77777777" w:rsidR="00733EC8" w:rsidRDefault="00733EC8" w:rsidP="00483F35">
            <w:pPr>
              <w:autoSpaceDE w:val="0"/>
              <w:autoSpaceDN w:val="0"/>
              <w:adjustRightInd w:val="0"/>
              <w:jc w:val="both"/>
              <w:rPr>
                <w:rFonts w:ascii="Times New Roman" w:hAnsi="Times New Roman"/>
                <w:sz w:val="24"/>
                <w:szCs w:val="24"/>
              </w:rPr>
            </w:pPr>
            <w:r>
              <w:rPr>
                <w:rFonts w:ascii="Times New Roman" w:hAnsi="Times New Roman"/>
                <w:sz w:val="24"/>
                <w:szCs w:val="24"/>
              </w:rPr>
              <w:t>Chemical Fishing Techniques</w:t>
            </w:r>
          </w:p>
        </w:tc>
        <w:tc>
          <w:tcPr>
            <w:tcW w:w="900" w:type="dxa"/>
          </w:tcPr>
          <w:p w14:paraId="69E35C46"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5257CBE2"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6 (3.5%)</w:t>
            </w:r>
          </w:p>
        </w:tc>
        <w:tc>
          <w:tcPr>
            <w:tcW w:w="900" w:type="dxa"/>
            <w:gridSpan w:val="2"/>
          </w:tcPr>
          <w:p w14:paraId="0D3590DF"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5B036079"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33 (18%)</w:t>
            </w:r>
          </w:p>
        </w:tc>
        <w:tc>
          <w:tcPr>
            <w:tcW w:w="900" w:type="dxa"/>
          </w:tcPr>
          <w:p w14:paraId="2B98FB44"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117 (75%)</w:t>
            </w:r>
          </w:p>
        </w:tc>
        <w:tc>
          <w:tcPr>
            <w:tcW w:w="990" w:type="dxa"/>
          </w:tcPr>
          <w:p w14:paraId="26EC3C77"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33 (18%)</w:t>
            </w:r>
          </w:p>
        </w:tc>
        <w:tc>
          <w:tcPr>
            <w:tcW w:w="900" w:type="dxa"/>
          </w:tcPr>
          <w:p w14:paraId="4FD87620"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39 (25%)</w:t>
            </w:r>
          </w:p>
        </w:tc>
        <w:tc>
          <w:tcPr>
            <w:tcW w:w="990" w:type="dxa"/>
          </w:tcPr>
          <w:p w14:paraId="3E387BBF"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103 (57%)</w:t>
            </w:r>
          </w:p>
        </w:tc>
        <w:tc>
          <w:tcPr>
            <w:tcW w:w="900" w:type="dxa"/>
          </w:tcPr>
          <w:p w14:paraId="17F02B3A" w14:textId="77777777" w:rsidR="00733EC8" w:rsidRPr="00411496"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Nil </w:t>
            </w:r>
          </w:p>
        </w:tc>
        <w:tc>
          <w:tcPr>
            <w:tcW w:w="990" w:type="dxa"/>
          </w:tcPr>
          <w:p w14:paraId="73B70591"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6 (3.5%)</w:t>
            </w:r>
          </w:p>
        </w:tc>
        <w:tc>
          <w:tcPr>
            <w:tcW w:w="810" w:type="dxa"/>
          </w:tcPr>
          <w:p w14:paraId="4F5D800A" w14:textId="77777777" w:rsidR="00733EC8" w:rsidRDefault="00733EC8" w:rsidP="00483F35">
            <w:pPr>
              <w:autoSpaceDE w:val="0"/>
              <w:autoSpaceDN w:val="0"/>
              <w:adjustRightInd w:val="0"/>
              <w:jc w:val="center"/>
              <w:rPr>
                <w:rFonts w:ascii="Times New Roman" w:hAnsi="Times New Roman"/>
                <w:sz w:val="24"/>
                <w:szCs w:val="24"/>
              </w:rPr>
            </w:pPr>
            <w:r>
              <w:rPr>
                <w:rFonts w:ascii="Times New Roman" w:hAnsi="Times New Roman"/>
                <w:sz w:val="24"/>
                <w:szCs w:val="24"/>
              </w:rPr>
              <w:t>337</w:t>
            </w:r>
          </w:p>
        </w:tc>
        <w:tc>
          <w:tcPr>
            <w:tcW w:w="1170" w:type="dxa"/>
          </w:tcPr>
          <w:p w14:paraId="5105DCEB" w14:textId="77777777" w:rsidR="00733EC8" w:rsidRDefault="00733EC8" w:rsidP="00483F35">
            <w:pPr>
              <w:autoSpaceDE w:val="0"/>
              <w:autoSpaceDN w:val="0"/>
              <w:adjustRightInd w:val="0"/>
              <w:jc w:val="center"/>
              <w:rPr>
                <w:rFonts w:ascii="Times New Roman" w:hAnsi="Times New Roman"/>
                <w:b/>
                <w:sz w:val="24"/>
                <w:szCs w:val="24"/>
              </w:rPr>
            </w:pPr>
            <w:r w:rsidRPr="00C11B8E">
              <w:rPr>
                <w:rFonts w:ascii="Times New Roman" w:hAnsi="Times New Roman"/>
                <w:b/>
                <w:sz w:val="24"/>
                <w:szCs w:val="24"/>
              </w:rPr>
              <w:t>0.65</w:t>
            </w:r>
          </w:p>
          <w:p w14:paraId="68F902AD" w14:textId="77777777" w:rsidR="00733EC8" w:rsidRPr="00C11B8E" w:rsidRDefault="00733EC8" w:rsidP="00483F35">
            <w:pPr>
              <w:autoSpaceDE w:val="0"/>
              <w:autoSpaceDN w:val="0"/>
              <w:adjustRightInd w:val="0"/>
              <w:jc w:val="center"/>
              <w:rPr>
                <w:rFonts w:ascii="Times New Roman" w:hAnsi="Times New Roman"/>
                <w:b/>
                <w:sz w:val="24"/>
                <w:szCs w:val="24"/>
              </w:rPr>
            </w:pPr>
            <w:r>
              <w:rPr>
                <w:rFonts w:ascii="Times New Roman" w:hAnsi="Times New Roman"/>
                <w:b/>
                <w:sz w:val="24"/>
                <w:szCs w:val="24"/>
              </w:rPr>
              <w:t>(5</w:t>
            </w:r>
            <w:r w:rsidRPr="00C11B8E">
              <w:rPr>
                <w:rFonts w:ascii="Times New Roman" w:hAnsi="Times New Roman"/>
                <w:b/>
                <w:sz w:val="24"/>
                <w:szCs w:val="24"/>
                <w:vertAlign w:val="superscript"/>
              </w:rPr>
              <w:t>th</w:t>
            </w:r>
            <w:r>
              <w:rPr>
                <w:rFonts w:ascii="Times New Roman" w:hAnsi="Times New Roman"/>
                <w:b/>
                <w:sz w:val="24"/>
                <w:szCs w:val="24"/>
              </w:rPr>
              <w:t>)</w:t>
            </w:r>
          </w:p>
        </w:tc>
      </w:tr>
    </w:tbl>
    <w:p w14:paraId="7FA26C4A" w14:textId="77777777" w:rsidR="005402C4" w:rsidRDefault="00733EC8" w:rsidP="00442B1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Source: R</w:t>
      </w:r>
      <w:r w:rsidR="005402C4">
        <w:rPr>
          <w:rFonts w:ascii="Times New Roman" w:hAnsi="Times New Roman"/>
          <w:sz w:val="24"/>
          <w:szCs w:val="24"/>
        </w:rPr>
        <w:t>esearcher’s Field Records (2024)</w:t>
      </w:r>
    </w:p>
    <w:p w14:paraId="15213C76" w14:textId="77777777" w:rsidR="005402C4" w:rsidRDefault="005402C4" w:rsidP="00442B10">
      <w:pPr>
        <w:autoSpaceDE w:val="0"/>
        <w:autoSpaceDN w:val="0"/>
        <w:adjustRightInd w:val="0"/>
        <w:spacing w:after="0" w:line="480" w:lineRule="auto"/>
        <w:jc w:val="both"/>
        <w:rPr>
          <w:rFonts w:ascii="Times New Roman" w:hAnsi="Times New Roman"/>
          <w:sz w:val="24"/>
          <w:szCs w:val="24"/>
        </w:rPr>
        <w:sectPr w:rsidR="005402C4" w:rsidSect="00733EC8">
          <w:pgSz w:w="15840" w:h="12240" w:orient="landscape"/>
          <w:pgMar w:top="1166" w:right="907" w:bottom="1354" w:left="907" w:header="720" w:footer="720" w:gutter="0"/>
          <w:cols w:space="720"/>
          <w:docGrid w:linePitch="360"/>
        </w:sectPr>
      </w:pPr>
    </w:p>
    <w:p w14:paraId="37192BCC" w14:textId="77777777" w:rsidR="00466060" w:rsidRDefault="00466060" w:rsidP="008E1B14">
      <w:pPr>
        <w:pStyle w:val="ListParagraph"/>
        <w:spacing w:line="240" w:lineRule="auto"/>
        <w:ind w:left="0"/>
        <w:jc w:val="both"/>
        <w:rPr>
          <w:rFonts w:ascii="Times New Roman" w:hAnsi="Times New Roman" w:cs="Times New Roman"/>
          <w:sz w:val="24"/>
        </w:rPr>
        <w:sectPr w:rsidR="00466060" w:rsidSect="00121FA4">
          <w:type w:val="continuous"/>
          <w:pgSz w:w="12240" w:h="15840"/>
          <w:pgMar w:top="907" w:right="1166" w:bottom="907" w:left="1354" w:header="720" w:footer="720" w:gutter="0"/>
          <w:cols w:num="2" w:space="720"/>
          <w:docGrid w:linePitch="360"/>
        </w:sectPr>
      </w:pPr>
    </w:p>
    <w:p w14:paraId="5BB1FC09" w14:textId="77777777" w:rsidR="00BA36DA" w:rsidRDefault="00466060" w:rsidP="008E1B14">
      <w:pPr>
        <w:pStyle w:val="ListParagraph"/>
        <w:spacing w:line="240" w:lineRule="auto"/>
        <w:ind w:left="0"/>
        <w:jc w:val="both"/>
        <w:rPr>
          <w:rFonts w:ascii="Times New Roman" w:hAnsi="Times New Roman" w:cs="Times New Roman"/>
          <w:sz w:val="24"/>
        </w:rPr>
      </w:pPr>
      <w:r w:rsidRPr="00466060">
        <w:rPr>
          <w:rFonts w:ascii="Times New Roman" w:hAnsi="Times New Roman" w:cs="Times New Roman"/>
          <w:sz w:val="24"/>
        </w:rPr>
        <w:lastRenderedPageBreak/>
        <w:t>It</w:t>
      </w:r>
      <w:r>
        <w:rPr>
          <w:rFonts w:ascii="Times New Roman" w:hAnsi="Times New Roman" w:cs="Times New Roman"/>
          <w:sz w:val="24"/>
        </w:rPr>
        <w:t xml:space="preserve"> is therefore obvious that there is little or no much economic value ascribable to the withered environment in the assessment of economic value. T</w:t>
      </w:r>
      <w:r w:rsidR="00BA36DA">
        <w:rPr>
          <w:rFonts w:ascii="Times New Roman" w:hAnsi="Times New Roman" w:cs="Times New Roman"/>
          <w:sz w:val="24"/>
        </w:rPr>
        <w:t>here is therefore observable significant decline in livelihood from occupational activities, such as fishing, hunting, seafood harvesting/commercialization, logging and a host others attached to the mangrove ecosystem.</w:t>
      </w:r>
      <w:r w:rsidR="00287598">
        <w:rPr>
          <w:rFonts w:ascii="Times New Roman" w:hAnsi="Times New Roman" w:cs="Times New Roman"/>
          <w:sz w:val="24"/>
        </w:rPr>
        <w:t xml:space="preserve"> This is explained in Table 2 where the various occupational activities thrives more in the Bayelsa State zonal area than the Rivers State zonal area.</w:t>
      </w:r>
      <w:r w:rsidR="004166D2">
        <w:rPr>
          <w:rFonts w:ascii="Times New Roman" w:hAnsi="Times New Roman" w:cs="Times New Roman"/>
          <w:sz w:val="24"/>
        </w:rPr>
        <w:t xml:space="preserve"> The mangrove </w:t>
      </w:r>
      <w:r w:rsidR="00F90CDD">
        <w:rPr>
          <w:rFonts w:ascii="Times New Roman" w:hAnsi="Times New Roman" w:cs="Times New Roman"/>
          <w:sz w:val="24"/>
        </w:rPr>
        <w:t>ecosystem is noted for its provisioning services which are a major indicator of economic value potentials as several of them are major items for commercial activities but are extracted by ‘open access’.</w:t>
      </w:r>
      <w:r w:rsidR="0096368D">
        <w:rPr>
          <w:rFonts w:ascii="Times New Roman" w:hAnsi="Times New Roman" w:cs="Times New Roman"/>
          <w:sz w:val="24"/>
        </w:rPr>
        <w:t xml:space="preserve"> Environmental valuation therefore incorporates these benefits which are amenities that cannot be bought and sold in the open market to determine and assess the ecosystem functions and economic value.</w:t>
      </w:r>
    </w:p>
    <w:p w14:paraId="561ED7AF" w14:textId="77777777" w:rsidR="00121FA4" w:rsidRPr="00466060" w:rsidRDefault="00BA36DA"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 xml:space="preserve">Man’s daily dependence on the mangrove ecosystem is known to have created problems right from the beginning of creation but </w:t>
      </w:r>
      <w:r w:rsidR="00287598">
        <w:rPr>
          <w:rFonts w:ascii="Times New Roman" w:hAnsi="Times New Roman" w:cs="Times New Roman"/>
          <w:sz w:val="24"/>
        </w:rPr>
        <w:t xml:space="preserve">nature has always been able rehabilitate such issues through natural cycles but with increasing population of humans and the attendant utility pressure on the available resources, rural livelihood is discovered to have been negatively affected. The analysis of Table 3 also indicates that human-caused effect is more intense in the Rivers State area than in the Bayelsa </w:t>
      </w:r>
      <w:r w:rsidR="00287598" w:rsidRPr="00766771">
        <w:rPr>
          <w:rFonts w:ascii="Times New Roman" w:hAnsi="Times New Roman" w:cs="Times New Roman"/>
          <w:sz w:val="24"/>
          <w:highlight w:val="yellow"/>
        </w:rPr>
        <w:t>A</w:t>
      </w:r>
      <w:r w:rsidR="00287598">
        <w:rPr>
          <w:rFonts w:ascii="Times New Roman" w:hAnsi="Times New Roman" w:cs="Times New Roman"/>
          <w:sz w:val="24"/>
        </w:rPr>
        <w:t xml:space="preserve">rea.  </w:t>
      </w:r>
      <w:r>
        <w:rPr>
          <w:rFonts w:ascii="Times New Roman" w:hAnsi="Times New Roman" w:cs="Times New Roman"/>
          <w:sz w:val="24"/>
        </w:rPr>
        <w:t xml:space="preserve">  </w:t>
      </w:r>
      <w:r w:rsidR="00466060">
        <w:rPr>
          <w:rFonts w:ascii="Times New Roman" w:hAnsi="Times New Roman" w:cs="Times New Roman"/>
          <w:sz w:val="24"/>
        </w:rPr>
        <w:t xml:space="preserve"> </w:t>
      </w:r>
    </w:p>
    <w:p w14:paraId="78453C6C" w14:textId="77777777" w:rsidR="00670F7E" w:rsidRDefault="00670F7E" w:rsidP="008E1B14">
      <w:pPr>
        <w:pStyle w:val="ListParagraph"/>
        <w:spacing w:line="240" w:lineRule="auto"/>
        <w:ind w:left="0"/>
        <w:jc w:val="both"/>
        <w:rPr>
          <w:rFonts w:ascii="Times New Roman" w:hAnsi="Times New Roman" w:cs="Times New Roman"/>
          <w:sz w:val="24"/>
        </w:rPr>
      </w:pPr>
    </w:p>
    <w:p w14:paraId="132BF200" w14:textId="77777777" w:rsidR="00291414" w:rsidRDefault="00670F7E" w:rsidP="008E1B14">
      <w:pPr>
        <w:pStyle w:val="ListParagraph"/>
        <w:spacing w:line="240" w:lineRule="auto"/>
        <w:ind w:left="0"/>
        <w:jc w:val="both"/>
        <w:rPr>
          <w:rFonts w:ascii="Times New Roman" w:hAnsi="Times New Roman" w:cs="Times New Roman"/>
          <w:sz w:val="24"/>
        </w:rPr>
      </w:pPr>
      <w:r w:rsidRPr="00670F7E">
        <w:rPr>
          <w:rFonts w:ascii="Times New Roman" w:hAnsi="Times New Roman" w:cs="Times New Roman"/>
          <w:sz w:val="24"/>
        </w:rPr>
        <w:t>CONCLUSION</w:t>
      </w:r>
      <w:r w:rsidR="00291414" w:rsidRPr="00670F7E">
        <w:rPr>
          <w:rFonts w:ascii="Times New Roman" w:hAnsi="Times New Roman" w:cs="Times New Roman"/>
          <w:sz w:val="24"/>
        </w:rPr>
        <w:t xml:space="preserve"> </w:t>
      </w:r>
    </w:p>
    <w:p w14:paraId="17EF99BB" w14:textId="77777777" w:rsidR="004166D2" w:rsidRDefault="004166D2" w:rsidP="008E1B14">
      <w:pPr>
        <w:pStyle w:val="ListParagraph"/>
        <w:spacing w:line="240" w:lineRule="auto"/>
        <w:ind w:left="0"/>
        <w:jc w:val="both"/>
        <w:rPr>
          <w:rFonts w:ascii="Times New Roman" w:hAnsi="Times New Roman" w:cs="Times New Roman"/>
          <w:sz w:val="24"/>
        </w:rPr>
      </w:pPr>
    </w:p>
    <w:p w14:paraId="5DE96975" w14:textId="77777777" w:rsidR="004166D2" w:rsidRDefault="00F90CDD" w:rsidP="008E1B14">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 xml:space="preserve">Mangrove ecosystem is a very rich ecological system upon which the rural dwellers in the coastal communities of the Niger Delta region have been dependent. Sea food such as shrimps, oysters, periwinkles, whelks, conges, crabs and a variety of fishes breeds in the mangrove to set a food chain upon which livelihood is attained. It is therefore relevant for the mangrove ecosystem to be on a regular check against the action of man to avoid </w:t>
      </w:r>
      <w:r w:rsidR="00384297">
        <w:rPr>
          <w:rFonts w:ascii="Times New Roman" w:hAnsi="Times New Roman" w:cs="Times New Roman"/>
          <w:sz w:val="24"/>
        </w:rPr>
        <w:t>detrimental exploitation of the resources contained therein. There is therefore need for environmental valuation at regular intervals for action plans to curb the menace of man’s actions on the ecosystem.</w:t>
      </w:r>
      <w:r>
        <w:rPr>
          <w:rFonts w:ascii="Times New Roman" w:hAnsi="Times New Roman" w:cs="Times New Roman"/>
          <w:sz w:val="24"/>
        </w:rPr>
        <w:t xml:space="preserve"> </w:t>
      </w:r>
    </w:p>
    <w:p w14:paraId="5E7F9521" w14:textId="77777777" w:rsidR="002332FD" w:rsidRDefault="002332FD" w:rsidP="00221B45">
      <w:pPr>
        <w:pStyle w:val="ListParagraph"/>
        <w:ind w:left="0"/>
        <w:jc w:val="both"/>
        <w:rPr>
          <w:rFonts w:ascii="Times New Roman" w:hAnsi="Times New Roman" w:cs="Times New Roman"/>
          <w:sz w:val="24"/>
        </w:rPr>
      </w:pPr>
    </w:p>
    <w:p w14:paraId="5F88F4D8" w14:textId="77777777" w:rsidR="002332FD" w:rsidRDefault="002332FD" w:rsidP="00221B45">
      <w:pPr>
        <w:pStyle w:val="ListParagraph"/>
        <w:ind w:left="0"/>
        <w:jc w:val="both"/>
        <w:rPr>
          <w:rFonts w:ascii="Times New Roman" w:hAnsi="Times New Roman" w:cs="Times New Roman"/>
          <w:sz w:val="24"/>
        </w:rPr>
      </w:pPr>
      <w:r>
        <w:rPr>
          <w:rFonts w:ascii="Times New Roman" w:hAnsi="Times New Roman" w:cs="Times New Roman"/>
          <w:sz w:val="24"/>
        </w:rPr>
        <w:t>REFERENCES</w:t>
      </w:r>
    </w:p>
    <w:p w14:paraId="2425E4DA" w14:textId="77777777" w:rsidR="00AA3E7A" w:rsidRDefault="00AA3E7A" w:rsidP="00221B45">
      <w:pPr>
        <w:pStyle w:val="ListParagraph"/>
        <w:ind w:left="0"/>
        <w:jc w:val="both"/>
        <w:rPr>
          <w:rFonts w:ascii="Times New Roman" w:hAnsi="Times New Roman" w:cs="Times New Roman"/>
          <w:sz w:val="24"/>
        </w:rPr>
      </w:pPr>
    </w:p>
    <w:p w14:paraId="5CC945A0" w14:textId="77777777" w:rsidR="0048163E" w:rsidRDefault="002332FD" w:rsidP="0048163E">
      <w:pPr>
        <w:pStyle w:val="ListParagraph"/>
        <w:numPr>
          <w:ilvl w:val="0"/>
          <w:numId w:val="7"/>
        </w:numPr>
        <w:spacing w:after="0" w:line="240" w:lineRule="auto"/>
        <w:jc w:val="both"/>
        <w:rPr>
          <w:rFonts w:ascii="Times New Roman" w:hAnsi="Times New Roman" w:cs="Times New Roman"/>
          <w:sz w:val="28"/>
        </w:rPr>
      </w:pPr>
      <w:r w:rsidRPr="002332FD">
        <w:rPr>
          <w:rFonts w:ascii="Times New Roman" w:hAnsi="Times New Roman" w:cs="Times New Roman"/>
          <w:color w:val="2C3135"/>
          <w:sz w:val="24"/>
          <w:shd w:val="clear" w:color="auto" w:fill="FFFFFF"/>
        </w:rPr>
        <w:t>Zhang, W., Rickets, T., Kremen, C., Carney, K., Swinton, S. (2007). Ecosystem services and dis-services to agriculture. Ecological Economics, 64: 253-260.</w:t>
      </w:r>
      <w:r w:rsidR="00595BAB" w:rsidRPr="002332FD">
        <w:rPr>
          <w:rFonts w:ascii="Times New Roman" w:hAnsi="Times New Roman" w:cs="Times New Roman"/>
          <w:sz w:val="28"/>
        </w:rPr>
        <w:t xml:space="preserve"> </w:t>
      </w:r>
    </w:p>
    <w:p w14:paraId="30810170" w14:textId="77777777" w:rsidR="00E302CF" w:rsidRPr="005A77AE" w:rsidRDefault="00E302CF" w:rsidP="0048163E">
      <w:pPr>
        <w:pStyle w:val="ListParagraph"/>
        <w:numPr>
          <w:ilvl w:val="0"/>
          <w:numId w:val="7"/>
        </w:numPr>
        <w:spacing w:after="0" w:line="240" w:lineRule="auto"/>
        <w:jc w:val="both"/>
        <w:rPr>
          <w:rFonts w:ascii="Times New Roman" w:hAnsi="Times New Roman" w:cs="Times New Roman"/>
          <w:sz w:val="28"/>
        </w:rPr>
      </w:pPr>
      <w:r w:rsidRPr="0048163E">
        <w:rPr>
          <w:rFonts w:ascii="Times New Roman" w:hAnsi="Times New Roman" w:cs="Times New Roman"/>
          <w:sz w:val="24"/>
        </w:rPr>
        <w:t>Caroline Banton</w:t>
      </w:r>
      <w:r w:rsidR="00B00829" w:rsidRPr="0048163E">
        <w:rPr>
          <w:rFonts w:ascii="Times New Roman" w:hAnsi="Times New Roman" w:cs="Times New Roman"/>
          <w:sz w:val="24"/>
        </w:rPr>
        <w:t xml:space="preserve"> </w:t>
      </w:r>
      <w:r w:rsidRPr="0048163E">
        <w:rPr>
          <w:rFonts w:ascii="Times New Roman" w:hAnsi="Times New Roman" w:cs="Times New Roman"/>
          <w:sz w:val="24"/>
        </w:rPr>
        <w:t>(2023).</w:t>
      </w:r>
      <w:r w:rsidR="007965EE" w:rsidRPr="0048163E">
        <w:rPr>
          <w:rFonts w:ascii="Times New Roman" w:hAnsi="Times New Roman" w:cs="Times New Roman"/>
          <w:sz w:val="24"/>
        </w:rPr>
        <w:t xml:space="preserve"> </w:t>
      </w:r>
      <w:r w:rsidRPr="0048163E">
        <w:rPr>
          <w:rFonts w:ascii="Times New Roman" w:eastAsia="Times New Roman" w:hAnsi="Times New Roman" w:cs="Times New Roman"/>
          <w:color w:val="111111"/>
          <w:spacing w:val="1"/>
          <w:kern w:val="36"/>
          <w:sz w:val="24"/>
          <w:szCs w:val="48"/>
        </w:rPr>
        <w:t>Economic Value: Definition, Examples, Ways to Estimate</w:t>
      </w:r>
      <w:r w:rsidR="0048163E" w:rsidRPr="0048163E">
        <w:rPr>
          <w:rFonts w:ascii="Times New Roman" w:eastAsia="Times New Roman" w:hAnsi="Times New Roman" w:cs="Times New Roman"/>
          <w:color w:val="111111"/>
          <w:spacing w:val="1"/>
          <w:kern w:val="36"/>
          <w:sz w:val="24"/>
          <w:szCs w:val="48"/>
        </w:rPr>
        <w:t xml:space="preserve">. </w:t>
      </w:r>
      <w:r w:rsidR="0048163E" w:rsidRPr="0048163E">
        <w:rPr>
          <w:rFonts w:ascii="Times New Roman" w:eastAsia="Times New Roman" w:hAnsi="Times New Roman" w:cs="Times New Roman"/>
          <w:i/>
          <w:color w:val="111111"/>
          <w:spacing w:val="1"/>
          <w:kern w:val="36"/>
          <w:sz w:val="24"/>
          <w:szCs w:val="48"/>
        </w:rPr>
        <w:t xml:space="preserve">Investopedia. </w:t>
      </w:r>
      <w:r w:rsidR="0048163E" w:rsidRPr="0048163E">
        <w:rPr>
          <w:rFonts w:ascii="Times New Roman" w:eastAsia="Times New Roman" w:hAnsi="Times New Roman" w:cs="Times New Roman"/>
          <w:color w:val="111111"/>
          <w:spacing w:val="1"/>
          <w:kern w:val="36"/>
          <w:sz w:val="24"/>
          <w:szCs w:val="48"/>
        </w:rPr>
        <w:t>Guide to economics.</w:t>
      </w:r>
    </w:p>
    <w:p w14:paraId="6020F842" w14:textId="77777777" w:rsidR="00E12F63" w:rsidRDefault="005A77AE" w:rsidP="00E12F63">
      <w:pPr>
        <w:pStyle w:val="ListParagraph"/>
        <w:numPr>
          <w:ilvl w:val="0"/>
          <w:numId w:val="7"/>
        </w:numPr>
        <w:jc w:val="both"/>
        <w:rPr>
          <w:rFonts w:ascii="Times New Roman" w:hAnsi="Times New Roman" w:cs="Times New Roman"/>
          <w:sz w:val="24"/>
        </w:rPr>
      </w:pPr>
      <w:r w:rsidRPr="005A77AE">
        <w:rPr>
          <w:rFonts w:ascii="Times New Roman" w:eastAsia="Times New Roman" w:hAnsi="Times New Roman" w:cs="Times New Roman"/>
          <w:color w:val="111111"/>
          <w:spacing w:val="1"/>
          <w:kern w:val="36"/>
          <w:sz w:val="24"/>
          <w:szCs w:val="48"/>
        </w:rPr>
        <w:t xml:space="preserve">Aransiola et al (2024). The Niger Delta Mangrove Ecosystem: Biodiversity, past and present pollution, threat and mitigation. </w:t>
      </w:r>
      <w:r w:rsidRPr="005A77AE">
        <w:rPr>
          <w:rFonts w:ascii="Times New Roman" w:hAnsi="Times New Roman" w:cs="Times New Roman"/>
          <w:i/>
          <w:sz w:val="24"/>
        </w:rPr>
        <w:t>Science Direct.</w:t>
      </w:r>
      <w:r w:rsidRPr="005A77AE">
        <w:rPr>
          <w:rFonts w:ascii="Times New Roman" w:hAnsi="Times New Roman" w:cs="Times New Roman"/>
          <w:sz w:val="24"/>
        </w:rPr>
        <w:t xml:space="preserve"> Regional Studies in Marine Science. 103568, ISSN 2352-4855, vol. 75</w:t>
      </w:r>
    </w:p>
    <w:p w14:paraId="6BE0DC42" w14:textId="77777777" w:rsidR="00E12F63" w:rsidRPr="00E12F63" w:rsidRDefault="00E12F63" w:rsidP="00E12F63">
      <w:pPr>
        <w:pStyle w:val="ListParagraph"/>
        <w:numPr>
          <w:ilvl w:val="0"/>
          <w:numId w:val="7"/>
        </w:numPr>
        <w:jc w:val="both"/>
        <w:rPr>
          <w:rFonts w:ascii="Times New Roman" w:hAnsi="Times New Roman" w:cs="Times New Roman"/>
          <w:sz w:val="24"/>
        </w:rPr>
      </w:pPr>
      <w:r w:rsidRPr="00E12F63">
        <w:rPr>
          <w:rFonts w:ascii="Times New Roman" w:hAnsi="Times New Roman" w:cs="Times New Roman"/>
          <w:sz w:val="24"/>
        </w:rPr>
        <w:t xml:space="preserve"> </w:t>
      </w:r>
      <w:r w:rsidRPr="00E12F63">
        <w:rPr>
          <w:rFonts w:ascii="Times New Roman" w:hAnsi="Times New Roman" w:cs="Times New Roman"/>
          <w:color w:val="222222"/>
          <w:sz w:val="24"/>
          <w:szCs w:val="27"/>
          <w:shd w:val="clear" w:color="auto" w:fill="FFFFFF"/>
        </w:rPr>
        <w:t>Polidoro, B. A, Carpenter, K. E, Collins, L, and Duke, N. C (2010). The loss of species: mangrove extinction risk and geographic areas of global concern. </w:t>
      </w:r>
      <w:r w:rsidRPr="00E12F63">
        <w:rPr>
          <w:rFonts w:ascii="Times New Roman" w:hAnsi="Times New Roman" w:cs="Times New Roman"/>
          <w:i/>
          <w:iCs/>
          <w:color w:val="222222"/>
          <w:sz w:val="24"/>
          <w:szCs w:val="27"/>
          <w:shd w:val="clear" w:color="auto" w:fill="FFFFFF"/>
        </w:rPr>
        <w:t>PLoS ONE</w:t>
      </w:r>
      <w:r w:rsidRPr="00E12F63">
        <w:rPr>
          <w:rFonts w:ascii="Times New Roman" w:hAnsi="Times New Roman" w:cs="Times New Roman"/>
          <w:color w:val="222222"/>
          <w:sz w:val="24"/>
          <w:szCs w:val="27"/>
          <w:shd w:val="clear" w:color="auto" w:fill="FFFFFF"/>
        </w:rPr>
        <w:t> </w:t>
      </w:r>
      <w:r w:rsidRPr="00E12F63">
        <w:rPr>
          <w:rFonts w:ascii="Times New Roman" w:hAnsi="Times New Roman" w:cs="Times New Roman"/>
          <w:bCs/>
          <w:color w:val="222222"/>
          <w:sz w:val="24"/>
          <w:szCs w:val="27"/>
          <w:shd w:val="clear" w:color="auto" w:fill="FFFFFF"/>
        </w:rPr>
        <w:t>5</w:t>
      </w:r>
      <w:r w:rsidRPr="00E12F63">
        <w:rPr>
          <w:rFonts w:ascii="Times New Roman" w:hAnsi="Times New Roman" w:cs="Times New Roman"/>
          <w:color w:val="222222"/>
          <w:sz w:val="24"/>
          <w:szCs w:val="27"/>
          <w:shd w:val="clear" w:color="auto" w:fill="FFFFFF"/>
        </w:rPr>
        <w:t>.</w:t>
      </w:r>
    </w:p>
    <w:p w14:paraId="2C6EB97A" w14:textId="77777777" w:rsidR="00E373E2" w:rsidRDefault="0026607C" w:rsidP="00E373E2">
      <w:pPr>
        <w:pStyle w:val="ListParagraph"/>
        <w:numPr>
          <w:ilvl w:val="0"/>
          <w:numId w:val="7"/>
        </w:numPr>
        <w:spacing w:after="0" w:line="240" w:lineRule="auto"/>
        <w:jc w:val="both"/>
        <w:rPr>
          <w:rFonts w:ascii="Times New Roman" w:eastAsia="Times New Roman" w:hAnsi="Times New Roman" w:cs="Times New Roman"/>
          <w:color w:val="000000"/>
          <w:sz w:val="24"/>
          <w:szCs w:val="24"/>
        </w:rPr>
      </w:pPr>
      <w:r w:rsidRPr="00E373E2">
        <w:rPr>
          <w:rFonts w:ascii="Times New Roman" w:hAnsi="Times New Roman" w:cs="Times New Roman"/>
          <w:sz w:val="24"/>
        </w:rPr>
        <w:t>Nababa et al (2020)</w:t>
      </w:r>
      <w:r w:rsidR="004212EA" w:rsidRPr="00E373E2">
        <w:rPr>
          <w:rFonts w:ascii="Times New Roman" w:hAnsi="Times New Roman" w:cs="Times New Roman"/>
          <w:sz w:val="24"/>
        </w:rPr>
        <w:t xml:space="preserve">. </w:t>
      </w:r>
      <w:r w:rsidR="004212EA" w:rsidRPr="00E373E2">
        <w:rPr>
          <w:rFonts w:ascii="Times New Roman" w:eastAsia="Times New Roman" w:hAnsi="Times New Roman" w:cs="Times New Roman"/>
          <w:color w:val="000000"/>
          <w:sz w:val="24"/>
          <w:szCs w:val="24"/>
        </w:rPr>
        <w:t>Nababa, Land cover dynamics and mangrove degradation in the Niger Delta Region, Remote Sens., № 12, с. 3619</w:t>
      </w:r>
      <w:r w:rsidR="00E373E2">
        <w:rPr>
          <w:rFonts w:ascii="Times New Roman" w:eastAsia="Times New Roman" w:hAnsi="Times New Roman" w:cs="Times New Roman"/>
          <w:color w:val="000000"/>
          <w:sz w:val="24"/>
          <w:szCs w:val="24"/>
        </w:rPr>
        <w:t xml:space="preserve"> </w:t>
      </w:r>
      <w:r w:rsidR="00E373E2" w:rsidRPr="00E373E2">
        <w:rPr>
          <w:rFonts w:ascii="Times New Roman" w:eastAsia="Times New Roman" w:hAnsi="Times New Roman" w:cs="Times New Roman"/>
          <w:color w:val="000000"/>
          <w:sz w:val="24"/>
          <w:szCs w:val="24"/>
        </w:rPr>
        <w:t xml:space="preserve">  htt</w:t>
      </w:r>
      <w:r w:rsidR="00E373E2">
        <w:rPr>
          <w:rFonts w:ascii="Times New Roman" w:eastAsia="Times New Roman" w:hAnsi="Times New Roman" w:cs="Times New Roman"/>
          <w:color w:val="000000"/>
          <w:sz w:val="24"/>
          <w:szCs w:val="24"/>
        </w:rPr>
        <w:t>ps://doi.org/10.3390/rs1221361</w:t>
      </w:r>
    </w:p>
    <w:p w14:paraId="2ECE4D92" w14:textId="77777777" w:rsidR="0026607C" w:rsidRDefault="0026607C" w:rsidP="0048163E">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Giri et al</w:t>
      </w:r>
      <w:r w:rsidR="00E373E2">
        <w:rPr>
          <w:rFonts w:ascii="Times New Roman" w:hAnsi="Times New Roman" w:cs="Times New Roman"/>
          <w:sz w:val="24"/>
        </w:rPr>
        <w:t>,</w:t>
      </w:r>
      <w:r w:rsidR="00E373E2" w:rsidRPr="00E373E2">
        <w:rPr>
          <w:rFonts w:ascii="Times New Roman" w:hAnsi="Times New Roman" w:cs="Times New Roman"/>
          <w:iCs/>
          <w:sz w:val="24"/>
        </w:rPr>
        <w:t xml:space="preserve"> (2011).</w:t>
      </w:r>
      <w:r w:rsidR="00E373E2" w:rsidRPr="00E373E2">
        <w:rPr>
          <w:rFonts w:ascii="Times New Roman" w:hAnsi="Times New Roman" w:cs="Times New Roman"/>
          <w:i/>
          <w:iCs/>
          <w:sz w:val="24"/>
        </w:rPr>
        <w:t xml:space="preserve"> </w:t>
      </w:r>
      <w:hyperlink r:id="rId17" w:history="1">
        <w:r w:rsidR="00E373E2" w:rsidRPr="00E373E2">
          <w:rPr>
            <w:rFonts w:ascii="Times New Roman" w:hAnsi="Times New Roman" w:cs="Times New Roman"/>
            <w:iCs/>
            <w:sz w:val="24"/>
          </w:rPr>
          <w:t>"Status and distribution of mangrove forests of the world using earth observation satellite data: Status and distributions of global mangroves"</w:t>
        </w:r>
      </w:hyperlink>
      <w:r w:rsidR="00E373E2" w:rsidRPr="00E373E2">
        <w:rPr>
          <w:rFonts w:ascii="Times New Roman" w:hAnsi="Times New Roman" w:cs="Times New Roman"/>
          <w:i/>
          <w:iCs/>
          <w:sz w:val="24"/>
        </w:rPr>
        <w:t>.</w:t>
      </w:r>
      <w:r w:rsidR="00E373E2" w:rsidRPr="00E373E2">
        <w:rPr>
          <w:rFonts w:ascii="Times New Roman" w:hAnsi="Times New Roman" w:cs="Times New Roman"/>
          <w:iCs/>
          <w:sz w:val="24"/>
        </w:rPr>
        <w:t xml:space="preserve"> </w:t>
      </w:r>
      <w:r w:rsidR="00E373E2" w:rsidRPr="00E373E2">
        <w:rPr>
          <w:rFonts w:ascii="Times New Roman" w:hAnsi="Times New Roman" w:cs="Times New Roman"/>
          <w:i/>
          <w:iCs/>
          <w:sz w:val="24"/>
        </w:rPr>
        <w:t xml:space="preserve">Global Ecology and Biogeography. </w:t>
      </w:r>
      <w:r w:rsidR="00E373E2" w:rsidRPr="00E373E2">
        <w:rPr>
          <w:rFonts w:ascii="Times New Roman" w:hAnsi="Times New Roman" w:cs="Times New Roman"/>
          <w:bCs/>
          <w:iCs/>
          <w:sz w:val="24"/>
        </w:rPr>
        <w:t>20</w:t>
      </w:r>
      <w:r w:rsidR="00E373E2" w:rsidRPr="00E373E2">
        <w:rPr>
          <w:rFonts w:ascii="Times New Roman" w:hAnsi="Times New Roman" w:cs="Times New Roman"/>
          <w:iCs/>
          <w:sz w:val="24"/>
        </w:rPr>
        <w:t xml:space="preserve"> (1): 154–159. </w:t>
      </w:r>
      <w:hyperlink r:id="rId18" w:tooltip="Doi (identifier)" w:history="1">
        <w:r w:rsidR="00E373E2" w:rsidRPr="00E373E2">
          <w:rPr>
            <w:rFonts w:ascii="Times New Roman" w:hAnsi="Times New Roman" w:cs="Times New Roman"/>
            <w:iCs/>
            <w:sz w:val="24"/>
          </w:rPr>
          <w:t>doi</w:t>
        </w:r>
      </w:hyperlink>
      <w:r w:rsidR="00E373E2" w:rsidRPr="00E373E2">
        <w:rPr>
          <w:rFonts w:ascii="Times New Roman" w:hAnsi="Times New Roman" w:cs="Times New Roman"/>
          <w:i/>
          <w:iCs/>
          <w:sz w:val="24"/>
        </w:rPr>
        <w:t>:</w:t>
      </w:r>
      <w:hyperlink r:id="rId19" w:history="1">
        <w:r w:rsidR="00E373E2" w:rsidRPr="00E373E2">
          <w:rPr>
            <w:rFonts w:ascii="Times New Roman" w:hAnsi="Times New Roman" w:cs="Times New Roman"/>
            <w:iCs/>
            <w:sz w:val="24"/>
          </w:rPr>
          <w:t>10.1111/j.1466-8238.2010.00584.x</w:t>
        </w:r>
      </w:hyperlink>
      <w:r w:rsidR="00E373E2" w:rsidRPr="00E373E2">
        <w:rPr>
          <w:rFonts w:ascii="Times New Roman" w:hAnsi="Times New Roman" w:cs="Times New Roman"/>
          <w:sz w:val="24"/>
        </w:rPr>
        <w:t xml:space="preserve">. </w:t>
      </w:r>
      <w:r w:rsidR="00E373E2">
        <w:rPr>
          <w:rFonts w:ascii="Times New Roman" w:hAnsi="Times New Roman" w:cs="Times New Roman"/>
          <w:sz w:val="24"/>
        </w:rPr>
        <w:t xml:space="preserve"> </w:t>
      </w:r>
    </w:p>
    <w:p w14:paraId="3B82A21F" w14:textId="77777777" w:rsidR="0026607C" w:rsidRPr="00D30777" w:rsidRDefault="0026607C" w:rsidP="0048163E">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Friess et al (2019)</w:t>
      </w:r>
      <w:r w:rsidR="00E373E2" w:rsidRPr="00E373E2">
        <w:rPr>
          <w:rFonts w:ascii="Times New Roman" w:hAnsi="Times New Roman" w:cs="Times New Roman"/>
          <w:iCs/>
          <w:sz w:val="24"/>
        </w:rPr>
        <w:t xml:space="preserve">. </w:t>
      </w:r>
      <w:hyperlink r:id="rId20" w:history="1">
        <w:r w:rsidR="00E373E2" w:rsidRPr="00E373E2">
          <w:rPr>
            <w:rFonts w:ascii="Times New Roman" w:hAnsi="Times New Roman" w:cs="Times New Roman"/>
            <w:iCs/>
            <w:sz w:val="24"/>
          </w:rPr>
          <w:t>"The State of the World's Mangrove Forests: Past, Present, and Future"</w:t>
        </w:r>
      </w:hyperlink>
      <w:r w:rsidR="00E373E2" w:rsidRPr="00E373E2">
        <w:rPr>
          <w:rFonts w:ascii="Times New Roman" w:hAnsi="Times New Roman" w:cs="Times New Roman"/>
          <w:i/>
          <w:iCs/>
          <w:sz w:val="24"/>
        </w:rPr>
        <w:t>.</w:t>
      </w:r>
      <w:r w:rsidR="00E373E2" w:rsidRPr="00E373E2">
        <w:rPr>
          <w:rFonts w:ascii="Times New Roman" w:hAnsi="Times New Roman" w:cs="Times New Roman"/>
          <w:iCs/>
          <w:sz w:val="24"/>
        </w:rPr>
        <w:t xml:space="preserve"> </w:t>
      </w:r>
      <w:r w:rsidR="00E373E2" w:rsidRPr="00E373E2">
        <w:rPr>
          <w:rFonts w:ascii="Times New Roman" w:hAnsi="Times New Roman" w:cs="Times New Roman"/>
          <w:i/>
          <w:iCs/>
          <w:sz w:val="24"/>
        </w:rPr>
        <w:t>Annual Review of Environment and Resources.</w:t>
      </w:r>
      <w:r w:rsidR="00E373E2" w:rsidRPr="00E373E2">
        <w:rPr>
          <w:rFonts w:ascii="Times New Roman" w:hAnsi="Times New Roman" w:cs="Times New Roman"/>
          <w:iCs/>
          <w:sz w:val="24"/>
        </w:rPr>
        <w:t xml:space="preserve"> </w:t>
      </w:r>
      <w:r w:rsidR="00E373E2" w:rsidRPr="00E373E2">
        <w:rPr>
          <w:rFonts w:ascii="Times New Roman" w:hAnsi="Times New Roman" w:cs="Times New Roman"/>
          <w:bCs/>
          <w:iCs/>
          <w:sz w:val="24"/>
        </w:rPr>
        <w:t>44</w:t>
      </w:r>
      <w:r w:rsidR="00E373E2" w:rsidRPr="00E373E2">
        <w:rPr>
          <w:rFonts w:ascii="Times New Roman" w:hAnsi="Times New Roman" w:cs="Times New Roman"/>
          <w:iCs/>
          <w:sz w:val="24"/>
        </w:rPr>
        <w:t xml:space="preserve"> (1): 89–115. </w:t>
      </w:r>
      <w:hyperlink r:id="rId21" w:tooltip="Doi (identifier)" w:history="1">
        <w:r w:rsidR="00E373E2" w:rsidRPr="00E373E2">
          <w:rPr>
            <w:rFonts w:ascii="Times New Roman" w:hAnsi="Times New Roman" w:cs="Times New Roman"/>
            <w:iCs/>
            <w:sz w:val="24"/>
          </w:rPr>
          <w:t>doi</w:t>
        </w:r>
      </w:hyperlink>
      <w:r w:rsidR="00E373E2" w:rsidRPr="00E373E2">
        <w:rPr>
          <w:rFonts w:ascii="Times New Roman" w:hAnsi="Times New Roman" w:cs="Times New Roman"/>
          <w:i/>
          <w:iCs/>
          <w:sz w:val="24"/>
        </w:rPr>
        <w:t>:</w:t>
      </w:r>
      <w:hyperlink r:id="rId22" w:history="1">
        <w:r w:rsidR="00E373E2" w:rsidRPr="00E373E2">
          <w:rPr>
            <w:rFonts w:ascii="Times New Roman" w:hAnsi="Times New Roman" w:cs="Times New Roman"/>
            <w:iCs/>
            <w:sz w:val="24"/>
          </w:rPr>
          <w:t>10.1146/annurev-environ-101718-033302</w:t>
        </w:r>
      </w:hyperlink>
    </w:p>
    <w:p w14:paraId="1D924F10" w14:textId="77777777" w:rsidR="00D30777" w:rsidRPr="00D30777" w:rsidRDefault="00D30777" w:rsidP="00D30777">
      <w:pPr>
        <w:pStyle w:val="ListParagraph"/>
        <w:numPr>
          <w:ilvl w:val="0"/>
          <w:numId w:val="7"/>
        </w:numPr>
        <w:autoSpaceDE w:val="0"/>
        <w:autoSpaceDN w:val="0"/>
        <w:adjustRightInd w:val="0"/>
        <w:spacing w:after="0" w:line="240" w:lineRule="auto"/>
        <w:jc w:val="both"/>
        <w:rPr>
          <w:rFonts w:ascii="Times New Roman" w:hAnsi="Times New Roman" w:cs="Times New Roman"/>
          <w:color w:val="000000"/>
          <w:sz w:val="23"/>
          <w:szCs w:val="23"/>
        </w:rPr>
      </w:pPr>
      <w:r w:rsidRPr="00D30777">
        <w:rPr>
          <w:rFonts w:ascii="Times New Roman" w:hAnsi="Times New Roman" w:cs="Times New Roman"/>
          <w:color w:val="000000"/>
          <w:sz w:val="23"/>
          <w:szCs w:val="23"/>
        </w:rPr>
        <w:t>Oredein, O. (2013) Shell Sees Rise in Crude Theft i</w:t>
      </w:r>
      <w:r>
        <w:rPr>
          <w:rFonts w:ascii="Times New Roman" w:hAnsi="Times New Roman" w:cs="Times New Roman"/>
          <w:color w:val="000000"/>
          <w:sz w:val="23"/>
          <w:szCs w:val="23"/>
        </w:rPr>
        <w:t>n Nigeria. Dow Jones News wire.</w:t>
      </w:r>
      <w:r w:rsidRPr="00D30777">
        <w:rPr>
          <w:rFonts w:ascii="Times New Roman" w:hAnsi="Times New Roman" w:cs="Times New Roman"/>
          <w:i/>
          <w:iCs/>
          <w:color w:val="000000"/>
          <w:sz w:val="23"/>
          <w:szCs w:val="23"/>
        </w:rPr>
        <w:t>www.businessfox.com/news/2013/3/4</w:t>
      </w:r>
    </w:p>
    <w:p w14:paraId="10EFDD73" w14:textId="77777777" w:rsidR="00D30777" w:rsidRPr="0028114B" w:rsidRDefault="00D30777" w:rsidP="00D30777">
      <w:pPr>
        <w:pStyle w:val="Default"/>
        <w:numPr>
          <w:ilvl w:val="0"/>
          <w:numId w:val="7"/>
        </w:numPr>
        <w:jc w:val="both"/>
      </w:pPr>
      <w:r>
        <w:rPr>
          <w:iCs/>
          <w:sz w:val="23"/>
          <w:szCs w:val="23"/>
        </w:rPr>
        <w:lastRenderedPageBreak/>
        <w:t xml:space="preserve">Asimiea, A, &amp; Omokhuo (2013). </w:t>
      </w:r>
      <w:r w:rsidRPr="00D30777">
        <w:t xml:space="preserve"> </w:t>
      </w:r>
      <w:r>
        <w:rPr>
          <w:bCs/>
        </w:rPr>
        <w:t>Environmental Impact of Illegal Refineries on the Vegetation of t</w:t>
      </w:r>
      <w:r w:rsidRPr="00D30777">
        <w:rPr>
          <w:bCs/>
        </w:rPr>
        <w:t>he Niger Delta, Nigeria. Journal of Agriculture and Social Research</w:t>
      </w:r>
      <w:r>
        <w:rPr>
          <w:bCs/>
        </w:rPr>
        <w:t>, vol 13, No.2</w:t>
      </w:r>
    </w:p>
    <w:p w14:paraId="5D0F46F0" w14:textId="77777777" w:rsidR="0028114B" w:rsidRPr="00063C60" w:rsidRDefault="0028114B" w:rsidP="00D30777">
      <w:pPr>
        <w:pStyle w:val="Default"/>
        <w:numPr>
          <w:ilvl w:val="0"/>
          <w:numId w:val="7"/>
        </w:numPr>
        <w:jc w:val="both"/>
      </w:pPr>
      <w:r>
        <w:rPr>
          <w:bCs/>
        </w:rPr>
        <w:t>Imevbore &amp; Gundiach (2017). The Niger Delta Environmental Survey, 1997: Vol. 1 – Environmental and Socio-Economic Characteristics. Researchgate.</w:t>
      </w:r>
    </w:p>
    <w:p w14:paraId="2E214DF0" w14:textId="77777777" w:rsidR="00063C60" w:rsidRPr="001F2D95" w:rsidRDefault="00063C60" w:rsidP="00063C60">
      <w:pPr>
        <w:pStyle w:val="chapterdoi"/>
        <w:numPr>
          <w:ilvl w:val="0"/>
          <w:numId w:val="7"/>
        </w:numPr>
        <w:shd w:val="clear" w:color="auto" w:fill="FFFDEA"/>
        <w:jc w:val="both"/>
        <w:rPr>
          <w:rFonts w:ascii="Arial" w:hAnsi="Arial" w:cs="Arial"/>
          <w:color w:val="000000"/>
          <w:sz w:val="15"/>
          <w:szCs w:val="15"/>
        </w:rPr>
      </w:pPr>
      <w:r>
        <w:rPr>
          <w:bCs/>
        </w:rPr>
        <w:t xml:space="preserve">Ogbeibu A. E &amp; Orihabor, B. J. (2023). Niger Delta Mangrove Ecosystem and its Conservation Challenges.  Open Access Peer Reviewed Chapter of Mangrove Biology, Ecosystem, and Conservation. </w:t>
      </w:r>
      <w:r w:rsidRPr="00063C60">
        <w:rPr>
          <w:color w:val="000000"/>
          <w:szCs w:val="15"/>
        </w:rPr>
        <w:t>DOI: 10.5772/intechopen.112543</w:t>
      </w:r>
    </w:p>
    <w:p w14:paraId="4EB7C77A" w14:textId="77777777" w:rsidR="001F2D95" w:rsidRPr="0012783F" w:rsidRDefault="001F2D95" w:rsidP="00D2449E">
      <w:pPr>
        <w:pStyle w:val="chapterdoi"/>
        <w:numPr>
          <w:ilvl w:val="0"/>
          <w:numId w:val="7"/>
        </w:numPr>
        <w:shd w:val="clear" w:color="auto" w:fill="FFFDEA"/>
        <w:jc w:val="both"/>
        <w:rPr>
          <w:rFonts w:ascii="Arial" w:hAnsi="Arial" w:cs="Arial"/>
          <w:color w:val="000000"/>
          <w:sz w:val="15"/>
          <w:szCs w:val="15"/>
        </w:rPr>
      </w:pPr>
      <w:r>
        <w:rPr>
          <w:bCs/>
        </w:rPr>
        <w:t>Mobagunje, A.</w:t>
      </w:r>
      <w:r>
        <w:rPr>
          <w:rFonts w:ascii="Arial" w:hAnsi="Arial" w:cs="Arial"/>
          <w:color w:val="000000"/>
          <w:sz w:val="15"/>
          <w:szCs w:val="15"/>
        </w:rPr>
        <w:t xml:space="preserve"> </w:t>
      </w:r>
      <w:r>
        <w:rPr>
          <w:color w:val="000000"/>
          <w:szCs w:val="15"/>
        </w:rPr>
        <w:t xml:space="preserve">L (2024). Niger River. Encyclopedia </w:t>
      </w:r>
      <w:r w:rsidR="00D2449E">
        <w:rPr>
          <w:color w:val="000000"/>
          <w:szCs w:val="15"/>
        </w:rPr>
        <w:t xml:space="preserve">Britannica. </w:t>
      </w:r>
      <w:hyperlink r:id="rId23" w:history="1">
        <w:r w:rsidR="0012783F" w:rsidRPr="00A910F4">
          <w:rPr>
            <w:rStyle w:val="Hyperlink"/>
            <w:color w:val="auto"/>
            <w:szCs w:val="15"/>
          </w:rPr>
          <w:t>https://www.britannica.com/place/Niger-River</w:t>
        </w:r>
      </w:hyperlink>
    </w:p>
    <w:p w14:paraId="7B6C849C" w14:textId="77777777" w:rsidR="00A910F4" w:rsidRPr="001127A2" w:rsidRDefault="0012783F" w:rsidP="001127A2">
      <w:pPr>
        <w:pStyle w:val="chapterdoi"/>
        <w:numPr>
          <w:ilvl w:val="0"/>
          <w:numId w:val="7"/>
        </w:numPr>
        <w:shd w:val="clear" w:color="auto" w:fill="FFFDEA"/>
        <w:spacing w:after="0" w:afterAutospacing="0"/>
        <w:jc w:val="both"/>
        <w:rPr>
          <w:rFonts w:ascii="Arial" w:hAnsi="Arial" w:cs="Arial"/>
          <w:color w:val="000000"/>
          <w:sz w:val="15"/>
          <w:szCs w:val="15"/>
        </w:rPr>
      </w:pPr>
      <w:r>
        <w:rPr>
          <w:bCs/>
        </w:rPr>
        <w:t>Adegoke, J.</w:t>
      </w:r>
      <w:r>
        <w:rPr>
          <w:rFonts w:ascii="Arial" w:hAnsi="Arial" w:cs="Arial"/>
          <w:color w:val="000000"/>
          <w:sz w:val="15"/>
          <w:szCs w:val="15"/>
        </w:rPr>
        <w:t xml:space="preserve"> </w:t>
      </w:r>
      <w:r>
        <w:rPr>
          <w:color w:val="000000"/>
          <w:szCs w:val="15"/>
        </w:rPr>
        <w:t>O, Fageja, M, and Ologunerisa, T.E (2010). An assessment of the recent changes in the Niger Delta coastline using satellite imagery.</w:t>
      </w:r>
    </w:p>
    <w:p w14:paraId="0D284717" w14:textId="77777777" w:rsidR="001127A2" w:rsidRPr="001127A2" w:rsidRDefault="001127A2" w:rsidP="001127A2">
      <w:pPr>
        <w:spacing w:before="100" w:beforeAutospacing="1" w:after="0" w:line="240" w:lineRule="auto"/>
        <w:ind w:left="720" w:hanging="720"/>
        <w:jc w:val="both"/>
        <w:rPr>
          <w:rFonts w:ascii="Arial" w:eastAsia="Times New Roman" w:hAnsi="Arial" w:cs="Arial"/>
          <w:sz w:val="24"/>
          <w:szCs w:val="24"/>
        </w:rPr>
      </w:pPr>
      <w:r>
        <w:rPr>
          <w:rFonts w:ascii="Times New Roman" w:hAnsi="Times New Roman" w:cs="Times New Roman"/>
          <w:sz w:val="24"/>
          <w:szCs w:val="24"/>
        </w:rPr>
        <w:t xml:space="preserve">      14. Ogbeibu, A. E, &amp; Oribahbor, B. J (2023). The Niger Delta Mangrove Ecosystem and its Conservation Challenges.</w:t>
      </w:r>
      <w:r w:rsidRPr="006A3341">
        <w:rPr>
          <w:rFonts w:ascii="Arial" w:eastAsia="Times New Roman" w:hAnsi="Arial" w:cs="Arial"/>
          <w:sz w:val="24"/>
          <w:szCs w:val="24"/>
        </w:rPr>
        <w:t xml:space="preserve"> </w:t>
      </w:r>
      <w:r w:rsidRPr="00A43531">
        <w:rPr>
          <w:rFonts w:ascii="Times New Roman" w:eastAsia="Times New Roman" w:hAnsi="Times New Roman" w:cs="Times New Roman"/>
          <w:sz w:val="24"/>
          <w:szCs w:val="24"/>
        </w:rPr>
        <w:t xml:space="preserve">DOI: </w:t>
      </w:r>
      <w:r>
        <w:rPr>
          <w:rFonts w:ascii="Times New Roman" w:eastAsia="Times New Roman" w:hAnsi="Times New Roman" w:cs="Times New Roman"/>
          <w:sz w:val="24"/>
          <w:szCs w:val="24"/>
        </w:rPr>
        <w:t>10.5772/intechopen.11254</w:t>
      </w:r>
    </w:p>
    <w:p w14:paraId="5D3BFEEB" w14:textId="77777777" w:rsidR="001127A2" w:rsidRPr="001127A2" w:rsidRDefault="001127A2" w:rsidP="001127A2">
      <w:pPr>
        <w:pStyle w:val="Default"/>
        <w:ind w:left="720" w:hanging="720"/>
        <w:jc w:val="both"/>
        <w:rPr>
          <w:szCs w:val="15"/>
        </w:rPr>
      </w:pPr>
      <w:r>
        <w:rPr>
          <w:szCs w:val="15"/>
        </w:rPr>
        <w:t xml:space="preserve">      15. </w:t>
      </w:r>
      <w:r w:rsidRPr="003D6DDD">
        <w:rPr>
          <w:szCs w:val="15"/>
        </w:rPr>
        <w:t>Abere, S. A, &amp; Okeke, B. A (2011). The Nigerian Mangrove and Wildlife Development. Mediterranean Journal of Social Sciences. Vol. 2 (7).</w:t>
      </w:r>
    </w:p>
    <w:p w14:paraId="61AF54BC" w14:textId="77777777" w:rsidR="002E3289" w:rsidRPr="002E3289" w:rsidRDefault="00A910F4" w:rsidP="001127A2">
      <w:pPr>
        <w:pStyle w:val="chapterdoi"/>
        <w:numPr>
          <w:ilvl w:val="0"/>
          <w:numId w:val="13"/>
        </w:numPr>
        <w:shd w:val="clear" w:color="auto" w:fill="FFFDEA"/>
        <w:spacing w:after="0" w:afterAutospacing="0"/>
        <w:jc w:val="both"/>
        <w:rPr>
          <w:rFonts w:ascii="Arial" w:hAnsi="Arial" w:cs="Arial"/>
          <w:color w:val="000000"/>
          <w:sz w:val="15"/>
          <w:szCs w:val="15"/>
        </w:rPr>
      </w:pPr>
      <w:r>
        <w:rPr>
          <w:bCs/>
        </w:rPr>
        <w:t>Florida Department of Environmental Protection (gov).</w:t>
      </w:r>
      <w:r>
        <w:rPr>
          <w:color w:val="000000"/>
          <w:szCs w:val="15"/>
        </w:rPr>
        <w:t xml:space="preserve"> – Benefits of Mangrove. </w:t>
      </w:r>
      <w:hyperlink w:history="1">
        <w:r w:rsidRPr="002E3289">
          <w:rPr>
            <w:rStyle w:val="Hyperlink"/>
            <w:color w:val="auto"/>
            <w:szCs w:val="15"/>
          </w:rPr>
          <w:t>https://floridadep.gov&gt;sites&gt;defaults&gt;files</w:t>
        </w:r>
      </w:hyperlink>
      <w:r w:rsidRPr="002E3289">
        <w:rPr>
          <w:szCs w:val="15"/>
        </w:rPr>
        <w:t>&gt;</w:t>
      </w:r>
      <w:r>
        <w:rPr>
          <w:color w:val="000000"/>
          <w:szCs w:val="15"/>
        </w:rPr>
        <w:t xml:space="preserve"> ben</w:t>
      </w:r>
    </w:p>
    <w:p w14:paraId="1E52A88F" w14:textId="77777777" w:rsidR="00392E6F" w:rsidRPr="00392E6F" w:rsidRDefault="002E3289" w:rsidP="001127A2">
      <w:pPr>
        <w:pStyle w:val="Default"/>
        <w:numPr>
          <w:ilvl w:val="0"/>
          <w:numId w:val="13"/>
        </w:numPr>
        <w:rPr>
          <w:rFonts w:ascii="Source Sans Pro" w:hAnsi="Source Sans Pro" w:cs="Source Sans Pro"/>
        </w:rPr>
      </w:pPr>
      <w:r>
        <w:rPr>
          <w:bCs/>
        </w:rPr>
        <w:t>Akanni et al (2018).</w:t>
      </w:r>
      <w:r>
        <w:rPr>
          <w:szCs w:val="15"/>
        </w:rPr>
        <w:t xml:space="preserve"> The Values of Mangrove Ecosystem Services in the Niger Delta Region of Nigeria</w:t>
      </w:r>
      <w:r w:rsidRPr="002E3289">
        <w:t>.  DOI: 10.1016/B978-0-12-809399-3.00025-2</w:t>
      </w:r>
      <w:r w:rsidRPr="002E3289">
        <w:rPr>
          <w:rFonts w:ascii="Source Sans Pro" w:hAnsi="Source Sans Pro" w:cs="Source Sans Pro"/>
          <w:sz w:val="9"/>
          <w:szCs w:val="9"/>
        </w:rPr>
        <w:t xml:space="preserve"> </w:t>
      </w:r>
    </w:p>
    <w:p w14:paraId="64193DE1" w14:textId="77777777" w:rsidR="00924C7F" w:rsidRPr="00924C7F" w:rsidRDefault="00924C7F" w:rsidP="001127A2">
      <w:pPr>
        <w:pStyle w:val="Default"/>
        <w:numPr>
          <w:ilvl w:val="0"/>
          <w:numId w:val="13"/>
        </w:numPr>
        <w:jc w:val="both"/>
        <w:rPr>
          <w:rFonts w:ascii="Source Sans Pro" w:hAnsi="Source Sans Pro" w:cs="Source Sans Pro"/>
        </w:rPr>
      </w:pPr>
      <w:r>
        <w:rPr>
          <w:szCs w:val="15"/>
        </w:rPr>
        <w:t>Zabbey et al (2010). Functional Roles of Mangroves of the Niger Delta to the Coastal Communities and National Economy. Paper presentation at the 25</w:t>
      </w:r>
      <w:r w:rsidRPr="00924C7F">
        <w:rPr>
          <w:szCs w:val="15"/>
          <w:vertAlign w:val="superscript"/>
        </w:rPr>
        <w:t>th</w:t>
      </w:r>
      <w:r>
        <w:rPr>
          <w:szCs w:val="15"/>
        </w:rPr>
        <w:t xml:space="preserve"> annual international conference and exhibition at the Administrative Staff College of Nigeria (ASCON) Topo-Badagry, Lagos.</w:t>
      </w:r>
    </w:p>
    <w:p w14:paraId="3767C8F7" w14:textId="77777777" w:rsidR="00726B7F" w:rsidRPr="00726B7F" w:rsidRDefault="00924C7F" w:rsidP="001127A2">
      <w:pPr>
        <w:pStyle w:val="Default"/>
        <w:numPr>
          <w:ilvl w:val="0"/>
          <w:numId w:val="13"/>
        </w:numPr>
        <w:jc w:val="both"/>
        <w:rPr>
          <w:rFonts w:ascii="Source Sans Pro" w:hAnsi="Source Sans Pro" w:cs="Source Sans Pro"/>
        </w:rPr>
      </w:pPr>
      <w:r>
        <w:rPr>
          <w:sz w:val="23"/>
          <w:szCs w:val="23"/>
        </w:rPr>
        <w:t xml:space="preserve">Sathirathai, S. and Barbiar, E. B. (2001). Valuing mangrove conservation in Southern Thailand. </w:t>
      </w:r>
      <w:r>
        <w:rPr>
          <w:i/>
          <w:iCs/>
          <w:sz w:val="23"/>
          <w:szCs w:val="23"/>
        </w:rPr>
        <w:t xml:space="preserve">Contemporary Economic Policy </w:t>
      </w:r>
      <w:r>
        <w:rPr>
          <w:sz w:val="23"/>
          <w:szCs w:val="23"/>
        </w:rPr>
        <w:t xml:space="preserve">19: 109 – 122 </w:t>
      </w:r>
    </w:p>
    <w:p w14:paraId="2395789C" w14:textId="77777777" w:rsidR="00A23EB1" w:rsidRPr="00A23EB1" w:rsidRDefault="00726B7F" w:rsidP="001127A2">
      <w:pPr>
        <w:pStyle w:val="Default"/>
        <w:numPr>
          <w:ilvl w:val="0"/>
          <w:numId w:val="13"/>
        </w:numPr>
        <w:jc w:val="both"/>
        <w:rPr>
          <w:rFonts w:ascii="Source Sans Pro" w:hAnsi="Source Sans Pro" w:cs="Source Sans Pro"/>
        </w:rPr>
      </w:pPr>
      <w:r>
        <w:rPr>
          <w:sz w:val="23"/>
          <w:szCs w:val="23"/>
        </w:rPr>
        <w:t xml:space="preserve">Ronnback, P., Crona, B. And Ingwall, L. (2007). The return of of ecosystem goods and services in replanted mangrove forests: perspective from local communities in Kenya. </w:t>
      </w:r>
      <w:r>
        <w:rPr>
          <w:i/>
          <w:iCs/>
          <w:sz w:val="23"/>
          <w:szCs w:val="23"/>
        </w:rPr>
        <w:t>Environmental Conservation</w:t>
      </w:r>
      <w:r>
        <w:rPr>
          <w:sz w:val="23"/>
          <w:szCs w:val="23"/>
        </w:rPr>
        <w:t>. 34 (4): 313 – 324</w:t>
      </w:r>
    </w:p>
    <w:p w14:paraId="3840BA16" w14:textId="77777777" w:rsidR="00A23EB1" w:rsidRPr="00A23EB1" w:rsidRDefault="00A23EB1" w:rsidP="00A23EB1">
      <w:pPr>
        <w:pStyle w:val="Default"/>
        <w:numPr>
          <w:ilvl w:val="0"/>
          <w:numId w:val="13"/>
        </w:numPr>
        <w:jc w:val="both"/>
        <w:rPr>
          <w:rFonts w:ascii="Source Sans Pro" w:hAnsi="Source Sans Pro" w:cs="Source Sans Pro"/>
        </w:rPr>
      </w:pPr>
      <w:r w:rsidRPr="00A23EB1">
        <w:rPr>
          <w:sz w:val="23"/>
          <w:szCs w:val="23"/>
        </w:rPr>
        <w:t>Olugbenga, O et.al, (2007). Monitoring and Modelling Techniques of Environmental Pollution. First Edition, His Mercy Publishers, Akure, Ondo State, Nigeria.</w:t>
      </w:r>
    </w:p>
    <w:p w14:paraId="262FA76C" w14:textId="77777777" w:rsidR="008C2D71" w:rsidRPr="008C2D71" w:rsidRDefault="00A23EB1" w:rsidP="00A23EB1">
      <w:pPr>
        <w:pStyle w:val="Default"/>
        <w:numPr>
          <w:ilvl w:val="0"/>
          <w:numId w:val="13"/>
        </w:numPr>
        <w:jc w:val="both"/>
        <w:rPr>
          <w:rFonts w:ascii="Source Sans Pro" w:hAnsi="Source Sans Pro" w:cs="Source Sans Pro"/>
        </w:rPr>
      </w:pPr>
      <w:r w:rsidRPr="00A23EB1">
        <w:rPr>
          <w:sz w:val="23"/>
          <w:szCs w:val="23"/>
        </w:rPr>
        <w:t>Opara, Ukachukwu Eugene (2018). The Theoty and Practice of Environmental Valuation. First Edition, De-Emerald Publishers, Awka, Anambra State, Nigeria</w:t>
      </w:r>
      <w:r w:rsidR="008C2D71">
        <w:rPr>
          <w:sz w:val="23"/>
          <w:szCs w:val="23"/>
        </w:rPr>
        <w:t>.</w:t>
      </w:r>
    </w:p>
    <w:p w14:paraId="0D36B460" w14:textId="77777777" w:rsidR="003D6DDD" w:rsidRPr="008C2D71" w:rsidRDefault="00726B7F" w:rsidP="008C2D71">
      <w:pPr>
        <w:pStyle w:val="Default"/>
        <w:numPr>
          <w:ilvl w:val="0"/>
          <w:numId w:val="13"/>
        </w:numPr>
        <w:jc w:val="both"/>
        <w:rPr>
          <w:rFonts w:ascii="Source Sans Pro" w:hAnsi="Source Sans Pro" w:cs="Source Sans Pro"/>
        </w:rPr>
      </w:pPr>
      <w:r>
        <w:rPr>
          <w:sz w:val="23"/>
          <w:szCs w:val="23"/>
        </w:rPr>
        <w:t xml:space="preserve"> </w:t>
      </w:r>
      <w:r w:rsidR="008C2D71" w:rsidRPr="008C2D71">
        <w:rPr>
          <w:sz w:val="23"/>
          <w:szCs w:val="23"/>
        </w:rPr>
        <w:t>De Groot, R. S, Wilson, M. A, &amp; Boumans, R.M.J (2002). A Typology for the Classification, Description and Valuation of Ecosystem Functions, Goods and Services. Ecological Economics. Vol. 41, issue 6. P. 393 – 408.</w:t>
      </w:r>
    </w:p>
    <w:p w14:paraId="06B28E10" w14:textId="77777777" w:rsidR="008C2D71" w:rsidRDefault="008C2D71" w:rsidP="008C2D71">
      <w:pPr>
        <w:pStyle w:val="ListParagraph"/>
        <w:numPr>
          <w:ilvl w:val="0"/>
          <w:numId w:val="13"/>
        </w:numPr>
        <w:rPr>
          <w:rFonts w:ascii="Source Sans Pro" w:hAnsi="Source Sans Pro" w:cs="Source Sans Pro"/>
          <w:color w:val="000000"/>
          <w:sz w:val="24"/>
          <w:szCs w:val="24"/>
        </w:rPr>
      </w:pPr>
      <w:r w:rsidRPr="008C2D71">
        <w:rPr>
          <w:rFonts w:ascii="Times New Roman" w:hAnsi="Times New Roman" w:cs="Times New Roman"/>
          <w:color w:val="000000"/>
          <w:sz w:val="24"/>
          <w:szCs w:val="24"/>
        </w:rPr>
        <w:t>Rao, K. P. (2000). Sustainable Development – Economics and Policy. Blackwell Publishers. Oxford OX 41 JF Oxford</w:t>
      </w:r>
      <w:r w:rsidRPr="008C2D71">
        <w:rPr>
          <w:rFonts w:ascii="Source Sans Pro" w:hAnsi="Source Sans Pro" w:cs="Source Sans Pro"/>
          <w:color w:val="000000"/>
          <w:sz w:val="24"/>
          <w:szCs w:val="24"/>
        </w:rPr>
        <w:t>.</w:t>
      </w:r>
    </w:p>
    <w:p w14:paraId="0B009E5C" w14:textId="77777777" w:rsidR="008C2D71" w:rsidRPr="008C2D71" w:rsidRDefault="008C2D71" w:rsidP="008C2D71">
      <w:pPr>
        <w:pStyle w:val="ListParagraph"/>
        <w:numPr>
          <w:ilvl w:val="0"/>
          <w:numId w:val="13"/>
        </w:numPr>
        <w:jc w:val="both"/>
        <w:rPr>
          <w:rFonts w:ascii="Source Sans Pro" w:hAnsi="Source Sans Pro" w:cs="Source Sans Pro"/>
          <w:color w:val="000000"/>
          <w:sz w:val="24"/>
          <w:szCs w:val="24"/>
        </w:rPr>
      </w:pPr>
      <w:r w:rsidRPr="008C2D71">
        <w:rPr>
          <w:rFonts w:ascii="Times New Roman" w:hAnsi="Times New Roman" w:cs="Times New Roman"/>
          <w:color w:val="000000"/>
          <w:sz w:val="24"/>
          <w:szCs w:val="24"/>
        </w:rPr>
        <w:t>De Groot, R.S. (1992). Functions of Nature: Evaluation of Nature in Environmental Planning, Management, and Decision Making. Wolters-Noordhoff, Groningen</w:t>
      </w:r>
      <w:r w:rsidRPr="008C2D71">
        <w:rPr>
          <w:rFonts w:ascii="Source Sans Pro" w:hAnsi="Source Sans Pro" w:cs="Source Sans Pro"/>
          <w:color w:val="000000"/>
          <w:sz w:val="24"/>
          <w:szCs w:val="24"/>
        </w:rPr>
        <w:t>.</w:t>
      </w:r>
    </w:p>
    <w:p w14:paraId="31C7D8C9" w14:textId="77777777" w:rsidR="003D6DDD" w:rsidRDefault="003D6DDD" w:rsidP="003D6DDD">
      <w:pPr>
        <w:pStyle w:val="Default"/>
        <w:jc w:val="both"/>
        <w:rPr>
          <w:sz w:val="23"/>
          <w:szCs w:val="23"/>
        </w:rPr>
      </w:pPr>
    </w:p>
    <w:p w14:paraId="5AD454AF" w14:textId="77777777" w:rsidR="003D6DDD" w:rsidRDefault="003D6DDD" w:rsidP="003D6DDD">
      <w:pPr>
        <w:pStyle w:val="Default"/>
        <w:jc w:val="both"/>
        <w:rPr>
          <w:sz w:val="23"/>
          <w:szCs w:val="23"/>
        </w:rPr>
      </w:pPr>
    </w:p>
    <w:p w14:paraId="1EC1AA39" w14:textId="77777777" w:rsidR="003D6DDD" w:rsidRDefault="003D6DDD" w:rsidP="003D6DDD">
      <w:pPr>
        <w:pStyle w:val="Default"/>
        <w:jc w:val="both"/>
        <w:rPr>
          <w:szCs w:val="15"/>
        </w:rPr>
      </w:pPr>
    </w:p>
    <w:p w14:paraId="06AC0EB9" w14:textId="77777777" w:rsidR="0012783F" w:rsidRPr="002E3289" w:rsidRDefault="0012783F" w:rsidP="003D6DDD">
      <w:pPr>
        <w:pStyle w:val="Default"/>
        <w:jc w:val="both"/>
        <w:rPr>
          <w:rFonts w:ascii="Source Sans Pro" w:hAnsi="Source Sans Pro" w:cs="Source Sans Pro"/>
        </w:rPr>
      </w:pPr>
      <w:r>
        <w:rPr>
          <w:szCs w:val="15"/>
        </w:rPr>
        <w:t xml:space="preserve"> </w:t>
      </w:r>
    </w:p>
    <w:p w14:paraId="11BD83A9" w14:textId="77777777" w:rsidR="00063C60" w:rsidRPr="00D30777" w:rsidRDefault="00A13AA2" w:rsidP="00063C60">
      <w:pPr>
        <w:pStyle w:val="Default"/>
        <w:ind w:left="720"/>
        <w:jc w:val="both"/>
      </w:pPr>
      <w:hyperlink r:id="rId24" w:history="1">
        <w:r w:rsidR="00063C60">
          <w:rPr>
            <w:color w:val="0000FF"/>
            <w:sz w:val="15"/>
            <w:szCs w:val="15"/>
            <w:bdr w:val="none" w:sz="0" w:space="0" w:color="auto" w:frame="1"/>
          </w:rPr>
          <w:br/>
        </w:r>
      </w:hyperlink>
    </w:p>
    <w:p w14:paraId="2E70A391" w14:textId="77777777" w:rsidR="007965EE" w:rsidRPr="00D30777" w:rsidRDefault="007965EE" w:rsidP="00D30777">
      <w:pPr>
        <w:spacing w:after="0" w:line="240" w:lineRule="auto"/>
        <w:jc w:val="both"/>
        <w:rPr>
          <w:rFonts w:ascii="Times New Roman" w:hAnsi="Times New Roman" w:cs="Times New Roman"/>
          <w:sz w:val="24"/>
          <w:szCs w:val="24"/>
        </w:rPr>
      </w:pPr>
    </w:p>
    <w:p w14:paraId="323FBBDB" w14:textId="77777777" w:rsidR="00561D33" w:rsidRPr="00C13A7F" w:rsidRDefault="00561D33" w:rsidP="00C13A7F">
      <w:pPr>
        <w:pStyle w:val="ListParagraph"/>
        <w:ind w:left="0"/>
        <w:jc w:val="both"/>
        <w:rPr>
          <w:rFonts w:ascii="Times New Roman" w:hAnsi="Times New Roman" w:cs="Times New Roman"/>
          <w:sz w:val="24"/>
        </w:rPr>
      </w:pPr>
    </w:p>
    <w:sectPr w:rsidR="00561D33" w:rsidRPr="00C13A7F" w:rsidSect="00121FA4">
      <w:type w:val="continuous"/>
      <w:pgSz w:w="12240" w:h="15840"/>
      <w:pgMar w:top="907" w:right="1166" w:bottom="907"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AAEF5" w14:textId="77777777" w:rsidR="00A13AA2" w:rsidRDefault="00A13AA2" w:rsidP="005C0CD0">
      <w:pPr>
        <w:spacing w:after="0" w:line="240" w:lineRule="auto"/>
      </w:pPr>
      <w:r>
        <w:separator/>
      </w:r>
    </w:p>
  </w:endnote>
  <w:endnote w:type="continuationSeparator" w:id="0">
    <w:p w14:paraId="1F88083F" w14:textId="77777777" w:rsidR="00A13AA2" w:rsidRDefault="00A13AA2" w:rsidP="005C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altName w:val="Cambria Math"/>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7A6A4" w14:textId="77777777" w:rsidR="005C0CD0" w:rsidRDefault="005C0C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C891" w14:textId="77777777" w:rsidR="005C0CD0" w:rsidRDefault="005C0CD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2B035" w14:textId="77777777" w:rsidR="005C0CD0" w:rsidRDefault="005C0C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28957" w14:textId="77777777" w:rsidR="00A13AA2" w:rsidRDefault="00A13AA2" w:rsidP="005C0CD0">
      <w:pPr>
        <w:spacing w:after="0" w:line="240" w:lineRule="auto"/>
      </w:pPr>
      <w:r>
        <w:separator/>
      </w:r>
    </w:p>
  </w:footnote>
  <w:footnote w:type="continuationSeparator" w:id="0">
    <w:p w14:paraId="77D29AFF" w14:textId="77777777" w:rsidR="00A13AA2" w:rsidRDefault="00A13AA2" w:rsidP="005C0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EFE7" w14:textId="6A8A9142" w:rsidR="005C0CD0" w:rsidRDefault="00A13AA2">
    <w:pPr>
      <w:pStyle w:val="Header"/>
    </w:pPr>
    <w:r>
      <w:rPr>
        <w:noProof/>
      </w:rPr>
      <w:pict w14:anchorId="5570F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265126"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06D00" w14:textId="160DFB36" w:rsidR="005C0CD0" w:rsidRDefault="00A13AA2">
    <w:pPr>
      <w:pStyle w:val="Header"/>
    </w:pPr>
    <w:r>
      <w:rPr>
        <w:noProof/>
      </w:rPr>
      <w:pict w14:anchorId="36026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265127"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16066" w14:textId="690E9DC1" w:rsidR="005C0CD0" w:rsidRDefault="00A13AA2">
    <w:pPr>
      <w:pStyle w:val="Header"/>
    </w:pPr>
    <w:r>
      <w:rPr>
        <w:noProof/>
      </w:rPr>
      <w:pict w14:anchorId="63B67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265125"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FDA"/>
    <w:multiLevelType w:val="multilevel"/>
    <w:tmpl w:val="36640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34253"/>
    <w:multiLevelType w:val="hybridMultilevel"/>
    <w:tmpl w:val="94061B7C"/>
    <w:lvl w:ilvl="0" w:tplc="D6D4FEB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F4B26"/>
    <w:multiLevelType w:val="hybridMultilevel"/>
    <w:tmpl w:val="1952A242"/>
    <w:lvl w:ilvl="0" w:tplc="7ED29E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E324C"/>
    <w:multiLevelType w:val="multilevel"/>
    <w:tmpl w:val="6FAA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009D0"/>
    <w:multiLevelType w:val="hybridMultilevel"/>
    <w:tmpl w:val="1952A242"/>
    <w:lvl w:ilvl="0" w:tplc="7ED29E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B16B4"/>
    <w:multiLevelType w:val="hybridMultilevel"/>
    <w:tmpl w:val="1952A242"/>
    <w:lvl w:ilvl="0" w:tplc="7ED29E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9724C"/>
    <w:multiLevelType w:val="hybridMultilevel"/>
    <w:tmpl w:val="1952A242"/>
    <w:lvl w:ilvl="0" w:tplc="7ED29E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A929A4"/>
    <w:multiLevelType w:val="hybridMultilevel"/>
    <w:tmpl w:val="E3A61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8C2EE4"/>
    <w:multiLevelType w:val="hybridMultilevel"/>
    <w:tmpl w:val="D03C0E4A"/>
    <w:lvl w:ilvl="0" w:tplc="B6404D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64077"/>
    <w:multiLevelType w:val="hybridMultilevel"/>
    <w:tmpl w:val="DB2E3618"/>
    <w:lvl w:ilvl="0" w:tplc="13ECC890">
      <w:start w:val="16"/>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B61708"/>
    <w:multiLevelType w:val="hybridMultilevel"/>
    <w:tmpl w:val="24AE7B66"/>
    <w:lvl w:ilvl="0" w:tplc="6A76B94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110E8"/>
    <w:multiLevelType w:val="hybridMultilevel"/>
    <w:tmpl w:val="146A8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D850FA"/>
    <w:multiLevelType w:val="hybridMultilevel"/>
    <w:tmpl w:val="BDAE2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71BC9"/>
    <w:multiLevelType w:val="hybridMultilevel"/>
    <w:tmpl w:val="25605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133FEA"/>
    <w:multiLevelType w:val="hybridMultilevel"/>
    <w:tmpl w:val="1952A242"/>
    <w:lvl w:ilvl="0" w:tplc="7ED29E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13"/>
  </w:num>
  <w:num w:numId="5">
    <w:abstractNumId w:val="11"/>
  </w:num>
  <w:num w:numId="6">
    <w:abstractNumId w:val="7"/>
  </w:num>
  <w:num w:numId="7">
    <w:abstractNumId w:val="2"/>
  </w:num>
  <w:num w:numId="8">
    <w:abstractNumId w:val="0"/>
  </w:num>
  <w:num w:numId="9">
    <w:abstractNumId w:val="6"/>
  </w:num>
  <w:num w:numId="10">
    <w:abstractNumId w:val="5"/>
  </w:num>
  <w:num w:numId="11">
    <w:abstractNumId w:val="14"/>
  </w:num>
  <w:num w:numId="12">
    <w:abstractNumId w:val="4"/>
  </w:num>
  <w:num w:numId="13">
    <w:abstractNumId w:val="9"/>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1E"/>
    <w:rsid w:val="0004784B"/>
    <w:rsid w:val="00051D7D"/>
    <w:rsid w:val="00063C60"/>
    <w:rsid w:val="00064CF7"/>
    <w:rsid w:val="0006798A"/>
    <w:rsid w:val="000710E1"/>
    <w:rsid w:val="00071DCD"/>
    <w:rsid w:val="0008321E"/>
    <w:rsid w:val="00084230"/>
    <w:rsid w:val="00084BF3"/>
    <w:rsid w:val="00091E51"/>
    <w:rsid w:val="000D0DC7"/>
    <w:rsid w:val="000D792D"/>
    <w:rsid w:val="000F20E4"/>
    <w:rsid w:val="000F7A51"/>
    <w:rsid w:val="001022D7"/>
    <w:rsid w:val="001127A2"/>
    <w:rsid w:val="00121FA4"/>
    <w:rsid w:val="0012783F"/>
    <w:rsid w:val="00153026"/>
    <w:rsid w:val="00161942"/>
    <w:rsid w:val="00165A11"/>
    <w:rsid w:val="00173D35"/>
    <w:rsid w:val="0019137A"/>
    <w:rsid w:val="001A63DB"/>
    <w:rsid w:val="001D0CC6"/>
    <w:rsid w:val="001D16A4"/>
    <w:rsid w:val="001E2BF6"/>
    <w:rsid w:val="001E5453"/>
    <w:rsid w:val="001F2699"/>
    <w:rsid w:val="001F2D95"/>
    <w:rsid w:val="001F7708"/>
    <w:rsid w:val="00201B78"/>
    <w:rsid w:val="0020233D"/>
    <w:rsid w:val="00205597"/>
    <w:rsid w:val="00214F5B"/>
    <w:rsid w:val="00221B45"/>
    <w:rsid w:val="002332FD"/>
    <w:rsid w:val="002433EF"/>
    <w:rsid w:val="00264F77"/>
    <w:rsid w:val="0026607C"/>
    <w:rsid w:val="00267C20"/>
    <w:rsid w:val="0027440E"/>
    <w:rsid w:val="0028114B"/>
    <w:rsid w:val="00284B82"/>
    <w:rsid w:val="00287598"/>
    <w:rsid w:val="00291414"/>
    <w:rsid w:val="002B2993"/>
    <w:rsid w:val="002B4C87"/>
    <w:rsid w:val="002B6075"/>
    <w:rsid w:val="002E3289"/>
    <w:rsid w:val="002F3202"/>
    <w:rsid w:val="003043BD"/>
    <w:rsid w:val="00322F35"/>
    <w:rsid w:val="003438C6"/>
    <w:rsid w:val="00351B0D"/>
    <w:rsid w:val="003738A6"/>
    <w:rsid w:val="00384297"/>
    <w:rsid w:val="00392E6F"/>
    <w:rsid w:val="003B1A67"/>
    <w:rsid w:val="003B5E5E"/>
    <w:rsid w:val="003C7AFE"/>
    <w:rsid w:val="003D42D8"/>
    <w:rsid w:val="003D6DDD"/>
    <w:rsid w:val="003E230D"/>
    <w:rsid w:val="00406BF4"/>
    <w:rsid w:val="00411142"/>
    <w:rsid w:val="004166D2"/>
    <w:rsid w:val="004212EA"/>
    <w:rsid w:val="00422B5D"/>
    <w:rsid w:val="004313F3"/>
    <w:rsid w:val="00431BE1"/>
    <w:rsid w:val="004423A0"/>
    <w:rsid w:val="00442B10"/>
    <w:rsid w:val="00466060"/>
    <w:rsid w:val="0048163E"/>
    <w:rsid w:val="00483F35"/>
    <w:rsid w:val="00496972"/>
    <w:rsid w:val="004A3791"/>
    <w:rsid w:val="004D0B52"/>
    <w:rsid w:val="004E22AB"/>
    <w:rsid w:val="005072BF"/>
    <w:rsid w:val="0051399B"/>
    <w:rsid w:val="005402C4"/>
    <w:rsid w:val="005519E8"/>
    <w:rsid w:val="00561D33"/>
    <w:rsid w:val="0056309F"/>
    <w:rsid w:val="0059541C"/>
    <w:rsid w:val="00595BAB"/>
    <w:rsid w:val="005A77AE"/>
    <w:rsid w:val="005B54D1"/>
    <w:rsid w:val="005C0CD0"/>
    <w:rsid w:val="005C56C4"/>
    <w:rsid w:val="00611B16"/>
    <w:rsid w:val="0062445A"/>
    <w:rsid w:val="00624964"/>
    <w:rsid w:val="00670F7E"/>
    <w:rsid w:val="006B7E96"/>
    <w:rsid w:val="006C62C6"/>
    <w:rsid w:val="006D3C38"/>
    <w:rsid w:val="00711CE8"/>
    <w:rsid w:val="00726B7F"/>
    <w:rsid w:val="00733EC8"/>
    <w:rsid w:val="00735172"/>
    <w:rsid w:val="00743032"/>
    <w:rsid w:val="00743270"/>
    <w:rsid w:val="00766771"/>
    <w:rsid w:val="00770926"/>
    <w:rsid w:val="0078369C"/>
    <w:rsid w:val="007965EE"/>
    <w:rsid w:val="007A2699"/>
    <w:rsid w:val="007E2364"/>
    <w:rsid w:val="007F4496"/>
    <w:rsid w:val="008075B0"/>
    <w:rsid w:val="00827768"/>
    <w:rsid w:val="00851296"/>
    <w:rsid w:val="00852622"/>
    <w:rsid w:val="00874612"/>
    <w:rsid w:val="00877914"/>
    <w:rsid w:val="00880610"/>
    <w:rsid w:val="00885C6E"/>
    <w:rsid w:val="008A1417"/>
    <w:rsid w:val="008C2D71"/>
    <w:rsid w:val="008E1B14"/>
    <w:rsid w:val="008F22EF"/>
    <w:rsid w:val="00901CDE"/>
    <w:rsid w:val="00911CAF"/>
    <w:rsid w:val="00917F27"/>
    <w:rsid w:val="00924C7F"/>
    <w:rsid w:val="00927E4E"/>
    <w:rsid w:val="00930B61"/>
    <w:rsid w:val="00942316"/>
    <w:rsid w:val="009432B0"/>
    <w:rsid w:val="0096368D"/>
    <w:rsid w:val="009664AB"/>
    <w:rsid w:val="009870E9"/>
    <w:rsid w:val="009A5F45"/>
    <w:rsid w:val="009B2023"/>
    <w:rsid w:val="009B65A1"/>
    <w:rsid w:val="009C5CF3"/>
    <w:rsid w:val="009F443B"/>
    <w:rsid w:val="00A13AA2"/>
    <w:rsid w:val="00A14D3B"/>
    <w:rsid w:val="00A20425"/>
    <w:rsid w:val="00A23EB1"/>
    <w:rsid w:val="00A36DEA"/>
    <w:rsid w:val="00A80E0A"/>
    <w:rsid w:val="00A910F4"/>
    <w:rsid w:val="00AA3E7A"/>
    <w:rsid w:val="00AA4FE2"/>
    <w:rsid w:val="00AD1CEE"/>
    <w:rsid w:val="00AE1DBC"/>
    <w:rsid w:val="00AE2BB3"/>
    <w:rsid w:val="00AE3A79"/>
    <w:rsid w:val="00B00829"/>
    <w:rsid w:val="00B32B2B"/>
    <w:rsid w:val="00B44CAA"/>
    <w:rsid w:val="00B50A5C"/>
    <w:rsid w:val="00B92105"/>
    <w:rsid w:val="00BA36DA"/>
    <w:rsid w:val="00BA4ABB"/>
    <w:rsid w:val="00BB2826"/>
    <w:rsid w:val="00BC1D33"/>
    <w:rsid w:val="00BE48FD"/>
    <w:rsid w:val="00C13A7F"/>
    <w:rsid w:val="00C543C3"/>
    <w:rsid w:val="00C60377"/>
    <w:rsid w:val="00C70817"/>
    <w:rsid w:val="00C8734D"/>
    <w:rsid w:val="00CB1417"/>
    <w:rsid w:val="00CF0E98"/>
    <w:rsid w:val="00CF516F"/>
    <w:rsid w:val="00D00D15"/>
    <w:rsid w:val="00D219FA"/>
    <w:rsid w:val="00D2449E"/>
    <w:rsid w:val="00D30777"/>
    <w:rsid w:val="00D97830"/>
    <w:rsid w:val="00DA25DF"/>
    <w:rsid w:val="00DD0629"/>
    <w:rsid w:val="00DE3475"/>
    <w:rsid w:val="00E12040"/>
    <w:rsid w:val="00E12514"/>
    <w:rsid w:val="00E12F63"/>
    <w:rsid w:val="00E14D23"/>
    <w:rsid w:val="00E267E1"/>
    <w:rsid w:val="00E301FD"/>
    <w:rsid w:val="00E302CF"/>
    <w:rsid w:val="00E3717A"/>
    <w:rsid w:val="00E373E2"/>
    <w:rsid w:val="00E536A8"/>
    <w:rsid w:val="00E56531"/>
    <w:rsid w:val="00E61916"/>
    <w:rsid w:val="00E9120B"/>
    <w:rsid w:val="00E93306"/>
    <w:rsid w:val="00EA30C5"/>
    <w:rsid w:val="00EB42E3"/>
    <w:rsid w:val="00EB5254"/>
    <w:rsid w:val="00EF5627"/>
    <w:rsid w:val="00F006DE"/>
    <w:rsid w:val="00F02490"/>
    <w:rsid w:val="00F06644"/>
    <w:rsid w:val="00F068AD"/>
    <w:rsid w:val="00F13F8A"/>
    <w:rsid w:val="00F15CC7"/>
    <w:rsid w:val="00F52F84"/>
    <w:rsid w:val="00F551BB"/>
    <w:rsid w:val="00F60033"/>
    <w:rsid w:val="00F659A4"/>
    <w:rsid w:val="00F90CDD"/>
    <w:rsid w:val="00FA1439"/>
    <w:rsid w:val="00FA1695"/>
    <w:rsid w:val="00FB3199"/>
    <w:rsid w:val="00FB53D0"/>
    <w:rsid w:val="00FC02DE"/>
    <w:rsid w:val="00FF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014066"/>
  <w15:docId w15:val="{2A05F033-35EB-4F69-BFF6-39B2CBD3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0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21E"/>
    <w:pPr>
      <w:ind w:left="720"/>
      <w:contextualSpacing/>
    </w:pPr>
  </w:style>
  <w:style w:type="character" w:customStyle="1" w:styleId="Heading1Char">
    <w:name w:val="Heading 1 Char"/>
    <w:basedOn w:val="DefaultParagraphFont"/>
    <w:link w:val="Heading1"/>
    <w:uiPriority w:val="9"/>
    <w:rsid w:val="00E302C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81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3E"/>
    <w:rPr>
      <w:rFonts w:ascii="Tahoma" w:hAnsi="Tahoma" w:cs="Tahoma"/>
      <w:sz w:val="16"/>
      <w:szCs w:val="16"/>
    </w:rPr>
  </w:style>
  <w:style w:type="character" w:styleId="Hyperlink">
    <w:name w:val="Hyperlink"/>
    <w:basedOn w:val="DefaultParagraphFont"/>
    <w:uiPriority w:val="99"/>
    <w:unhideWhenUsed/>
    <w:rsid w:val="00E373E2"/>
    <w:rPr>
      <w:color w:val="0000FF" w:themeColor="hyperlink"/>
      <w:u w:val="single"/>
    </w:rPr>
  </w:style>
  <w:style w:type="paragraph" w:customStyle="1" w:styleId="Default">
    <w:name w:val="Default"/>
    <w:rsid w:val="008E1B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pterdoi">
    <w:name w:val="chapter__doi"/>
    <w:basedOn w:val="Normal"/>
    <w:rsid w:val="00063C6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545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C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CD0"/>
  </w:style>
  <w:style w:type="paragraph" w:styleId="Footer">
    <w:name w:val="footer"/>
    <w:basedOn w:val="Normal"/>
    <w:link w:val="FooterChar"/>
    <w:uiPriority w:val="99"/>
    <w:unhideWhenUsed/>
    <w:rsid w:val="005C0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8025">
      <w:bodyDiv w:val="1"/>
      <w:marLeft w:val="0"/>
      <w:marRight w:val="0"/>
      <w:marTop w:val="0"/>
      <w:marBottom w:val="0"/>
      <w:divBdr>
        <w:top w:val="none" w:sz="0" w:space="0" w:color="auto"/>
        <w:left w:val="none" w:sz="0" w:space="0" w:color="auto"/>
        <w:bottom w:val="none" w:sz="0" w:space="0" w:color="auto"/>
        <w:right w:val="none" w:sz="0" w:space="0" w:color="auto"/>
      </w:divBdr>
      <w:divsChild>
        <w:div w:id="1004170081">
          <w:marLeft w:val="0"/>
          <w:marRight w:val="0"/>
          <w:marTop w:val="0"/>
          <w:marBottom w:val="0"/>
          <w:divBdr>
            <w:top w:val="none" w:sz="0" w:space="0" w:color="auto"/>
            <w:left w:val="none" w:sz="0" w:space="0" w:color="auto"/>
            <w:bottom w:val="none" w:sz="0" w:space="0" w:color="auto"/>
            <w:right w:val="none" w:sz="0" w:space="0" w:color="auto"/>
          </w:divBdr>
        </w:div>
        <w:div w:id="90205605">
          <w:marLeft w:val="0"/>
          <w:marRight w:val="0"/>
          <w:marTop w:val="0"/>
          <w:marBottom w:val="0"/>
          <w:divBdr>
            <w:top w:val="none" w:sz="0" w:space="0" w:color="auto"/>
            <w:left w:val="none" w:sz="0" w:space="0" w:color="auto"/>
            <w:bottom w:val="none" w:sz="0" w:space="0" w:color="auto"/>
            <w:right w:val="none" w:sz="0" w:space="0" w:color="auto"/>
          </w:divBdr>
        </w:div>
        <w:div w:id="212428657">
          <w:marLeft w:val="0"/>
          <w:marRight w:val="0"/>
          <w:marTop w:val="0"/>
          <w:marBottom w:val="0"/>
          <w:divBdr>
            <w:top w:val="none" w:sz="0" w:space="0" w:color="auto"/>
            <w:left w:val="none" w:sz="0" w:space="0" w:color="auto"/>
            <w:bottom w:val="none" w:sz="0" w:space="0" w:color="auto"/>
            <w:right w:val="none" w:sz="0" w:space="0" w:color="auto"/>
          </w:divBdr>
        </w:div>
        <w:div w:id="1896427673">
          <w:marLeft w:val="0"/>
          <w:marRight w:val="0"/>
          <w:marTop w:val="0"/>
          <w:marBottom w:val="0"/>
          <w:divBdr>
            <w:top w:val="none" w:sz="0" w:space="0" w:color="auto"/>
            <w:left w:val="none" w:sz="0" w:space="0" w:color="auto"/>
            <w:bottom w:val="none" w:sz="0" w:space="0" w:color="auto"/>
            <w:right w:val="none" w:sz="0" w:space="0" w:color="auto"/>
          </w:divBdr>
        </w:div>
      </w:divsChild>
    </w:div>
    <w:div w:id="177351267">
      <w:bodyDiv w:val="1"/>
      <w:marLeft w:val="0"/>
      <w:marRight w:val="0"/>
      <w:marTop w:val="0"/>
      <w:marBottom w:val="0"/>
      <w:divBdr>
        <w:top w:val="none" w:sz="0" w:space="0" w:color="auto"/>
        <w:left w:val="none" w:sz="0" w:space="0" w:color="auto"/>
        <w:bottom w:val="none" w:sz="0" w:space="0" w:color="auto"/>
        <w:right w:val="none" w:sz="0" w:space="0" w:color="auto"/>
      </w:divBdr>
      <w:divsChild>
        <w:div w:id="1721829649">
          <w:marLeft w:val="0"/>
          <w:marRight w:val="0"/>
          <w:marTop w:val="0"/>
          <w:marBottom w:val="0"/>
          <w:divBdr>
            <w:top w:val="none" w:sz="0" w:space="0" w:color="auto"/>
            <w:left w:val="none" w:sz="0" w:space="0" w:color="auto"/>
            <w:bottom w:val="none" w:sz="0" w:space="0" w:color="auto"/>
            <w:right w:val="none" w:sz="0" w:space="0" w:color="auto"/>
          </w:divBdr>
        </w:div>
      </w:divsChild>
    </w:div>
    <w:div w:id="873269632">
      <w:bodyDiv w:val="1"/>
      <w:marLeft w:val="0"/>
      <w:marRight w:val="0"/>
      <w:marTop w:val="0"/>
      <w:marBottom w:val="0"/>
      <w:divBdr>
        <w:top w:val="none" w:sz="0" w:space="0" w:color="auto"/>
        <w:left w:val="none" w:sz="0" w:space="0" w:color="auto"/>
        <w:bottom w:val="none" w:sz="0" w:space="0" w:color="auto"/>
        <w:right w:val="none" w:sz="0" w:space="0" w:color="auto"/>
      </w:divBdr>
    </w:div>
    <w:div w:id="1459495919">
      <w:bodyDiv w:val="1"/>
      <w:marLeft w:val="0"/>
      <w:marRight w:val="0"/>
      <w:marTop w:val="0"/>
      <w:marBottom w:val="0"/>
      <w:divBdr>
        <w:top w:val="none" w:sz="0" w:space="0" w:color="auto"/>
        <w:left w:val="none" w:sz="0" w:space="0" w:color="auto"/>
        <w:bottom w:val="none" w:sz="0" w:space="0" w:color="auto"/>
        <w:right w:val="none" w:sz="0" w:space="0" w:color="auto"/>
      </w:divBdr>
      <w:divsChild>
        <w:div w:id="1981766397">
          <w:marLeft w:val="0"/>
          <w:marRight w:val="0"/>
          <w:marTop w:val="0"/>
          <w:marBottom w:val="0"/>
          <w:divBdr>
            <w:top w:val="none" w:sz="0" w:space="0" w:color="auto"/>
            <w:left w:val="none" w:sz="0" w:space="0" w:color="auto"/>
            <w:bottom w:val="none" w:sz="0" w:space="0" w:color="auto"/>
            <w:right w:val="none" w:sz="0" w:space="0" w:color="auto"/>
          </w:divBdr>
        </w:div>
      </w:divsChild>
    </w:div>
    <w:div w:id="1758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hyperlink" Target="https://en.wikipedia.org/wiki/Doi_(identifi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Doi_(identifier)" TargetMode="Externa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hyperlink" Target="https://doi.org/10.1111%2Fj.1466-8238.2010.00584.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146%2Fannurev-environ-101718-0333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intechopen.com/books/12224"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britannica.com/place/Niger-River" TargetMode="External"/><Relationship Id="rId10" Type="http://schemas.openxmlformats.org/officeDocument/2006/relationships/image" Target="media/image4.jpeg"/><Relationship Id="rId19" Type="http://schemas.openxmlformats.org/officeDocument/2006/relationships/hyperlink" Target="https://doi.org/10.1111%2Fj.1466-8238.2010.00584.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yperlink" Target="https://doi.org/10.1146%2Fannurev-environ-101718-033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4520</Words>
  <Characters>25765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 shukkoor</cp:lastModifiedBy>
  <cp:revision>3</cp:revision>
  <dcterms:created xsi:type="dcterms:W3CDTF">2025-02-08T18:59:00Z</dcterms:created>
  <dcterms:modified xsi:type="dcterms:W3CDTF">2025-02-08T19:01:00Z</dcterms:modified>
</cp:coreProperties>
</file>