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C876" w14:textId="77777777" w:rsidR="00350350" w:rsidRDefault="00583A05">
      <w:pPr>
        <w:jc w:val="center"/>
      </w:pPr>
      <w:r>
        <w:rPr>
          <w:b/>
          <w:bCs/>
          <w:sz w:val="28"/>
          <w:szCs w:val="28"/>
          <w:lang w:val="ro-RO"/>
        </w:rPr>
        <w:t>Medical Rehabilitation After Rotationplasty of the Lower Limb: A Narrative Review</w:t>
      </w:r>
    </w:p>
    <w:p w14:paraId="1898270B" w14:textId="77777777" w:rsidR="00350350" w:rsidRDefault="00350350">
      <w:pPr>
        <w:pStyle w:val="TTPParagraphothers"/>
        <w:ind w:firstLine="0"/>
      </w:pPr>
    </w:p>
    <w:p w14:paraId="201E921C" w14:textId="77777777" w:rsidR="00350350" w:rsidRDefault="00350350">
      <w:pPr>
        <w:pStyle w:val="TTPParagraphothers"/>
        <w:ind w:firstLine="0"/>
      </w:pPr>
    </w:p>
    <w:p w14:paraId="656CAA81" w14:textId="77777777" w:rsidR="00350350" w:rsidRDefault="00350350">
      <w:pPr>
        <w:pStyle w:val="TTPAbstract"/>
        <w:spacing w:before="0"/>
        <w:rPr>
          <w:lang w:val="ro-RO"/>
        </w:rPr>
      </w:pPr>
    </w:p>
    <w:p w14:paraId="14D5F20E" w14:textId="77777777" w:rsidR="00350350" w:rsidRDefault="00350350">
      <w:pPr>
        <w:pStyle w:val="TTPSectionHeading"/>
        <w:spacing w:before="0" w:after="0"/>
        <w:jc w:val="right"/>
        <w:rPr>
          <w:b w:val="0"/>
          <w:lang w:val="ro-RO"/>
        </w:rPr>
      </w:pPr>
    </w:p>
    <w:p w14:paraId="6EB3B8BB" w14:textId="77777777" w:rsidR="00350350" w:rsidRDefault="00350350">
      <w:pPr>
        <w:pStyle w:val="TTPParagraph1st"/>
        <w:jc w:val="right"/>
        <w:rPr>
          <w:lang w:val="ro-RO"/>
        </w:rPr>
      </w:pPr>
    </w:p>
    <w:p w14:paraId="7FC2E03B" w14:textId="54B26F4E" w:rsidR="00350350" w:rsidRDefault="004B31D6">
      <w:pPr>
        <w:pStyle w:val="TTPParagraphothers"/>
        <w:rPr>
          <w:lang w:val="ro-RO"/>
        </w:rPr>
      </w:pPr>
      <w:r>
        <w:rPr>
          <w:lang w:val="ro-RO"/>
        </w:rPr>
        <w:t xml:space="preserve">Abstract </w:t>
      </w:r>
    </w:p>
    <w:p w14:paraId="722132D6" w14:textId="77777777" w:rsidR="00350350" w:rsidRDefault="00583A05">
      <w:pPr>
        <w:pStyle w:val="BodyText"/>
        <w:spacing w:after="240"/>
        <w:ind w:firstLine="284"/>
      </w:pPr>
      <w:commentRangeStart w:id="0"/>
      <w:r>
        <w:rPr>
          <w:rStyle w:val="hps"/>
          <w:i/>
          <w:sz w:val="20"/>
        </w:rPr>
        <w:t xml:space="preserve">Rotationplasty is a surgical procedure primarily used in cases of osteosarcoma and proximal focal femoral deficiency, offering an alternative to above-knee amputation, particularly in paediatric patients. Despite its unconventional aesthetic outcome, this procedure provides superior functional mobility and psychological well-being compared to traditional amputations. Postoperative rehabilitation plays a crucial role in optimising recovery and reintegration into daily life. Physiotherapy interventions, including active, passive, and proprioceptive neuromuscular facilitation techniques, contribute to joint mobility, muscular strength, and overall functional restoration. Additionally, scar mobilisation through cupping therapy and instrument-assisted soft tissue mobilisation (IASTM) reduces adhesions and enhances tissue flexibility. </w:t>
      </w:r>
      <w:r>
        <w:rPr>
          <w:sz w:val="20"/>
        </w:rPr>
        <w:t>The rehabilitation process is structured into four phases: acute, subacute, early chronic, and late chronic. The acute phase prioritises limb protection and joint positioning, while the subacute phase focuses on increasing joint range of motion, core strengthening, and cardiovascular endurance. In the chronic phase, rehabilitation aims to restore functional movement, balance, and gait, ultimately facilitating a return to daily and sports activities. Electrotherapy is generally contraindicated due to patient age and the presence of metallic implants. A comprehensive, individualised physiotherapy programme significantly enhances post-rotationplasty recovery, improving quality of life and promoting independence. This paper underscores the importance of tailored rehabilitation strategies in maximising functional outcomes and long-term mobility following rotationplasty</w:t>
      </w:r>
      <w:commentRangeEnd w:id="0"/>
      <w:r w:rsidR="00655CAF">
        <w:rPr>
          <w:rStyle w:val="CommentReference"/>
          <w:lang w:val="de-DE" w:eastAsia="en-US"/>
        </w:rPr>
        <w:commentReference w:id="0"/>
      </w:r>
      <w:r>
        <w:rPr>
          <w:sz w:val="20"/>
        </w:rPr>
        <w:t>.</w:t>
      </w:r>
    </w:p>
    <w:p w14:paraId="7EA8423C" w14:textId="77777777" w:rsidR="00350350" w:rsidRDefault="00350350">
      <w:pPr>
        <w:pStyle w:val="TTPParagraph1st"/>
        <w:spacing w:after="240"/>
        <w:ind w:firstLine="284"/>
        <w:rPr>
          <w:rStyle w:val="hps"/>
          <w:i/>
          <w:color w:val="FF0000"/>
          <w:sz w:val="20"/>
          <w:szCs w:val="20"/>
          <w:lang w:val="en-GB"/>
        </w:rPr>
      </w:pPr>
    </w:p>
    <w:p w14:paraId="1801F9CD" w14:textId="77777777" w:rsidR="00350350" w:rsidRDefault="00583A05">
      <w:pPr>
        <w:pStyle w:val="TTPAbstract"/>
        <w:spacing w:before="0" w:after="240"/>
        <w:ind w:firstLine="284"/>
        <w:rPr>
          <w:i/>
          <w:sz w:val="20"/>
          <w:szCs w:val="20"/>
          <w:lang w:val="en-GB"/>
        </w:rPr>
      </w:pPr>
      <w:r>
        <w:rPr>
          <w:b/>
          <w:bCs/>
          <w:i/>
          <w:sz w:val="20"/>
          <w:szCs w:val="20"/>
          <w:lang w:val="en-GB"/>
        </w:rPr>
        <w:t>Keywords</w:t>
      </w:r>
      <w:r>
        <w:rPr>
          <w:bCs/>
          <w:i/>
          <w:sz w:val="20"/>
          <w:szCs w:val="20"/>
          <w:lang w:val="en-GB"/>
        </w:rPr>
        <w:t>:</w:t>
      </w:r>
      <w:r>
        <w:rPr>
          <w:i/>
          <w:sz w:val="20"/>
          <w:szCs w:val="20"/>
          <w:lang w:val="en-GB"/>
        </w:rPr>
        <w:t xml:space="preserve"> Rotationplasty of the Lower Limb, Physiotherapy, Osteosarcoma, Rehabilitation</w:t>
      </w:r>
    </w:p>
    <w:p w14:paraId="1ED8E6A5" w14:textId="77777777" w:rsidR="00350350" w:rsidRDefault="00583A05">
      <w:pPr>
        <w:pStyle w:val="TTPSectionHeading"/>
        <w:spacing w:line="360" w:lineRule="auto"/>
      </w:pPr>
      <w:commentRangeStart w:id="1"/>
      <w:r>
        <w:t xml:space="preserve">Introduction </w:t>
      </w:r>
      <w:commentRangeEnd w:id="1"/>
      <w:r w:rsidR="00655CAF">
        <w:rPr>
          <w:rStyle w:val="CommentReference"/>
          <w:b w:val="0"/>
          <w:bCs w:val="0"/>
          <w:lang w:val="de-DE"/>
        </w:rPr>
        <w:commentReference w:id="1"/>
      </w:r>
    </w:p>
    <w:p w14:paraId="02151220" w14:textId="77777777" w:rsidR="00350350" w:rsidRDefault="00583A05">
      <w:pPr>
        <w:pStyle w:val="BodyText"/>
        <w:spacing w:after="283"/>
        <w:rPr>
          <w:sz w:val="24"/>
          <w:szCs w:val="24"/>
        </w:rPr>
      </w:pPr>
      <w:r>
        <w:rPr>
          <w:sz w:val="24"/>
          <w:szCs w:val="24"/>
        </w:rPr>
        <w:tab/>
        <w:t>Rotationplasty is performed in patients with osteosarcoma of the lower limb, a condition more frequently encountered in children and adolescents, as it predominantly affects these age groups.</w:t>
      </w:r>
    </w:p>
    <w:p w14:paraId="7D65025B" w14:textId="77777777" w:rsidR="00350350" w:rsidRDefault="00583A05">
      <w:pPr>
        <w:pStyle w:val="BodyText"/>
        <w:spacing w:after="283"/>
        <w:rPr>
          <w:sz w:val="24"/>
          <w:szCs w:val="24"/>
        </w:rPr>
      </w:pPr>
      <w:r>
        <w:rPr>
          <w:sz w:val="24"/>
          <w:szCs w:val="24"/>
        </w:rPr>
        <w:tab/>
        <w:t>Osteosarcoma is one of the most common primary malignant bone tumours in children and adolescents, accounting for approximately 3% of all cancers within this demographic. Its peak incidence occurs between the ages of 13 and 16. Studies indicate that osteosarcoma is more prevalent in boys than in girls. The most frequent localisation is the metaphysis of long bones, such as the distal femur, proximal tibia, and humerus (Cosnarovici R. V., Cernea D. M., Coliță A., Dragomir M. D., 2021).</w:t>
      </w:r>
    </w:p>
    <w:p w14:paraId="271847C3" w14:textId="77777777" w:rsidR="00350350" w:rsidRDefault="00583A05">
      <w:pPr>
        <w:pStyle w:val="BodyText"/>
        <w:spacing w:after="283"/>
        <w:rPr>
          <w:sz w:val="24"/>
          <w:szCs w:val="24"/>
        </w:rPr>
      </w:pPr>
      <w:r>
        <w:rPr>
          <w:sz w:val="24"/>
          <w:szCs w:val="24"/>
        </w:rPr>
        <w:tab/>
        <w:t>Children and adolescents are better candidates for rotationplasty as their bones are still growing. The reattached foot continues to grow in proportion with their development, allowing for greater adaptability in various activities. The child is then fitted with a specialised prosthesis in which the foot is inserted into the tibial segment of the device, enabling the ankle joint to perform the flexion and extension movements typical of the knee (Cleveland Clinic, 2021).</w:t>
      </w:r>
    </w:p>
    <w:p w14:paraId="6985C134" w14:textId="77777777" w:rsidR="00350350" w:rsidRDefault="00583A05">
      <w:pPr>
        <w:pStyle w:val="BodyText"/>
        <w:spacing w:after="283"/>
        <w:rPr>
          <w:sz w:val="24"/>
          <w:szCs w:val="24"/>
        </w:rPr>
      </w:pPr>
      <w:r>
        <w:rPr>
          <w:sz w:val="24"/>
          <w:szCs w:val="24"/>
        </w:rPr>
        <w:tab/>
        <w:t xml:space="preserve">The advantages of rotationplasty include the absence of phantom limb syndrome, preservation of bone growth potential, good functional outcomes, and a lower risk of complications (Kowalczyk, K., Jarząb, S., 2021). Phantom limb pain is characteristic of traditional amputations and can significantly hinder patient functionality and full engagement </w:t>
      </w:r>
      <w:r>
        <w:rPr>
          <w:sz w:val="24"/>
          <w:szCs w:val="24"/>
        </w:rPr>
        <w:lastRenderedPageBreak/>
        <w:t>in physiotherapy programmes. This phenomenon arises due to peripheral nerve damage. In rotationplasty, the sciatic nerve and its branches remain intact, preventing phantom limb sensation (Kowalczyk, K., Jarząb, S., 2021).</w:t>
      </w:r>
    </w:p>
    <w:p w14:paraId="4B51DF07" w14:textId="77777777" w:rsidR="00350350" w:rsidRDefault="00583A05">
      <w:pPr>
        <w:pStyle w:val="BodyText"/>
        <w:spacing w:after="283"/>
        <w:rPr>
          <w:sz w:val="24"/>
          <w:szCs w:val="24"/>
        </w:rPr>
      </w:pPr>
      <w:r>
        <w:rPr>
          <w:sz w:val="24"/>
          <w:szCs w:val="24"/>
        </w:rPr>
        <w:tab/>
        <w:t>Additionally, rotationplasty preserves the epiphyseal cartilage responsible for longitudinal bone growth. When performed in young individuals whose ossification is incomplete, the operated bones can continue to grow alongside the child's overall development. During surgical planning, lower limb measurements are taken to estimate future bone length and the patient’s adult height upon full ossification. This ensures that the level of the rotated ankle joint aligns with the knee joint of the unaffected limb, eliminating the need for further surgical interventions (Kowalczyk, K., Jarząb, S., 2021).</w:t>
      </w:r>
    </w:p>
    <w:p w14:paraId="1EE5E20B" w14:textId="77777777" w:rsidR="00350350" w:rsidRDefault="00583A05">
      <w:pPr>
        <w:pStyle w:val="BodyText"/>
        <w:spacing w:after="283"/>
        <w:rPr>
          <w:sz w:val="24"/>
          <w:szCs w:val="24"/>
        </w:rPr>
      </w:pPr>
      <w:r>
        <w:rPr>
          <w:sz w:val="24"/>
          <w:szCs w:val="24"/>
        </w:rPr>
        <w:tab/>
        <w:t>Numerous studies indicate that patients who undergo rotationplasty achieve high functional outcomes and participate in various sports activities, including tennis, horse riding, judo, athletics, and roller skating. Their functional results surpass those of patients with traditional lower limb amputations (Kowalczyk, K., Jarząb, S., 2021).</w:t>
      </w:r>
    </w:p>
    <w:p w14:paraId="741D72F2" w14:textId="77777777" w:rsidR="00350350" w:rsidRDefault="00583A05">
      <w:pPr>
        <w:pStyle w:val="BodyText"/>
        <w:spacing w:after="283"/>
        <w:rPr>
          <w:sz w:val="24"/>
          <w:szCs w:val="24"/>
        </w:rPr>
      </w:pPr>
      <w:r>
        <w:rPr>
          <w:sz w:val="24"/>
          <w:szCs w:val="24"/>
        </w:rPr>
        <w:tab/>
        <w:t>A study by Akahane, which followed 21 patients with an average of 13.5 years post-rotationplasty, found no evidence of joint osteoarthritis or degenerative changes (Campbell, S., Orlin, M., Palisano, R., 2014).</w:t>
      </w:r>
    </w:p>
    <w:p w14:paraId="28CF9B89" w14:textId="77777777" w:rsidR="00350350" w:rsidRDefault="00583A05">
      <w:pPr>
        <w:pStyle w:val="BodyText"/>
        <w:spacing w:after="283"/>
        <w:rPr>
          <w:sz w:val="24"/>
          <w:szCs w:val="24"/>
        </w:rPr>
      </w:pPr>
      <w:r>
        <w:rPr>
          <w:sz w:val="24"/>
          <w:szCs w:val="24"/>
        </w:rPr>
        <w:tab/>
        <w:t>The primary disadvantages of rotationplasty include the limb’s unusual appearance, compensatory spinal deformities, and the risk of foot derotation. The greatest barrier to acceptance of this technique appears to be a lack of awareness (Krajbich J. I., Pinzur M., Potter B., Stevens P., 2016).</w:t>
      </w:r>
    </w:p>
    <w:p w14:paraId="3F8EA6B8" w14:textId="77777777" w:rsidR="00350350" w:rsidRDefault="00583A05">
      <w:pPr>
        <w:pStyle w:val="BodyText"/>
        <w:spacing w:after="283"/>
        <w:rPr>
          <w:sz w:val="24"/>
          <w:szCs w:val="24"/>
        </w:rPr>
      </w:pPr>
      <w:r>
        <w:rPr>
          <w:sz w:val="24"/>
          <w:szCs w:val="24"/>
        </w:rPr>
        <w:tab/>
        <w:t>One of the most frequent spinal compensatory deformities following rotationplasty is scoliosis. This results from the volumetric discrepancy between the two lower limbs and the initial adaptation period of walking with a prosthesis.</w:t>
      </w:r>
    </w:p>
    <w:p w14:paraId="5E9EB36A" w14:textId="77777777" w:rsidR="00350350" w:rsidRDefault="00583A05">
      <w:pPr>
        <w:pStyle w:val="BodyText"/>
        <w:spacing w:after="283"/>
        <w:rPr>
          <w:sz w:val="24"/>
          <w:szCs w:val="24"/>
        </w:rPr>
      </w:pPr>
      <w:r>
        <w:rPr>
          <w:sz w:val="24"/>
          <w:szCs w:val="24"/>
        </w:rPr>
        <w:tab/>
        <w:t>When the procedure is performed in very young children (aged 3–4 years), foot derotation may occur, necessitating a corrective rerotation surgery. This derotation results from the spiral traction exerted by proximal and distal muscles on the osteotomy site. Concerns have also been raised regarding the long-term consequences of altered weight distribution on the ankle joint (Campbell, S., Orlin, M., Palisano, R., 2014).</w:t>
      </w:r>
    </w:p>
    <w:p w14:paraId="0955C9CB" w14:textId="77777777" w:rsidR="00350350" w:rsidRDefault="00350350">
      <w:pPr>
        <w:spacing w:line="360" w:lineRule="auto"/>
        <w:ind w:firstLine="274"/>
        <w:jc w:val="both"/>
        <w:rPr>
          <w:sz w:val="24"/>
          <w:szCs w:val="24"/>
          <w:lang w:val="ro-RO"/>
        </w:rPr>
      </w:pPr>
    </w:p>
    <w:p w14:paraId="3B2B33E2" w14:textId="77777777" w:rsidR="00350350" w:rsidRDefault="00583A05">
      <w:pPr>
        <w:pStyle w:val="BodyText"/>
        <w:spacing w:line="360" w:lineRule="auto"/>
      </w:pPr>
      <w:commentRangeStart w:id="2"/>
      <w:r>
        <w:rPr>
          <w:rStyle w:val="Strong"/>
          <w:color w:val="212121"/>
          <w:sz w:val="24"/>
          <w:szCs w:val="24"/>
          <w:shd w:val="clear" w:color="auto" w:fill="FFFFFF"/>
          <w:lang w:val="ro-RO"/>
        </w:rPr>
        <w:t>Rotationplasty: Outcomes and Discussion</w:t>
      </w:r>
      <w:commentRangeEnd w:id="2"/>
      <w:r w:rsidR="00C72607">
        <w:rPr>
          <w:rStyle w:val="CommentReference"/>
          <w:lang w:val="de-DE" w:eastAsia="en-US"/>
        </w:rPr>
        <w:commentReference w:id="2"/>
      </w:r>
    </w:p>
    <w:p w14:paraId="0372355B" w14:textId="77777777" w:rsidR="00350350" w:rsidRDefault="00583A05">
      <w:pPr>
        <w:pStyle w:val="BodyText"/>
        <w:spacing w:after="283"/>
        <w:rPr>
          <w:sz w:val="24"/>
          <w:szCs w:val="24"/>
        </w:rPr>
      </w:pPr>
      <w:r>
        <w:rPr>
          <w:sz w:val="24"/>
          <w:szCs w:val="24"/>
        </w:rPr>
        <w:tab/>
        <w:t>Rotationplasty, or the Van Nes rotation, converts an above-knee amputation into a below-knee amputation. This procedure involves the removal of the distal femur and proximal tibia while preserving the neurovascular bundle. The tibia and foot are rotated externally by 180° and then reattached to the femur. This rotation allows the ankle joint to function as a knee joint. Over time, the range of motion and muscular strength of the ankle increase, while the toes undergo atrophy. The presence of a "knee joint" provides strength, stability, and gait control (Lin &amp; Patel, 2013; Cañadell &amp; San-Julian, 2009).</w:t>
      </w:r>
    </w:p>
    <w:p w14:paraId="4F7585C7" w14:textId="77777777" w:rsidR="00350350" w:rsidRDefault="00583A05">
      <w:pPr>
        <w:pStyle w:val="BodyText"/>
        <w:spacing w:after="283"/>
        <w:rPr>
          <w:sz w:val="24"/>
          <w:szCs w:val="24"/>
        </w:rPr>
      </w:pPr>
      <w:r>
        <w:rPr>
          <w:sz w:val="24"/>
          <w:szCs w:val="24"/>
        </w:rPr>
        <w:tab/>
        <w:t xml:space="preserve">In performing rotationplasty, it is crucial to ensure that the osteotomy is executed perpendicularly to the bone at the distal femur and proximal tibia (Ozger et al., 2022). This involves excising the distal third of the femur, encompassing the inferior and central portions </w:t>
      </w:r>
      <w:r>
        <w:rPr>
          <w:sz w:val="24"/>
          <w:szCs w:val="24"/>
        </w:rPr>
        <w:lastRenderedPageBreak/>
        <w:t>of the femoral shaft, along with the entire distal epiphysis. The latter consists of the following anatomical structures: the medial and lateral femoral condyles, the medial and lateral epicondyles, and the intercondylar fossa (Ozger et al., 2022).</w:t>
      </w:r>
    </w:p>
    <w:p w14:paraId="6A99F317" w14:textId="77777777" w:rsidR="00350350" w:rsidRDefault="00583A05">
      <w:pPr>
        <w:pStyle w:val="BodyText"/>
        <w:spacing w:after="283"/>
        <w:rPr>
          <w:sz w:val="24"/>
          <w:szCs w:val="24"/>
        </w:rPr>
      </w:pPr>
      <w:r>
        <w:rPr>
          <w:sz w:val="24"/>
          <w:szCs w:val="24"/>
        </w:rPr>
        <w:tab/>
        <w:t>Regarding the tibia, the osteotomy is performed at the proximal metaphysis, removing structures such as the medial and lateral condyles, the intercondylar eminence, and the tibial tuberosity. In certain cases, a longer segment of the tibia may be excised if the patient is near skeletal maturity and exhibits limited growth potential in the unaffected contralateral femur (Ozger et al., 2022).</w:t>
      </w:r>
    </w:p>
    <w:p w14:paraId="2F0FA45B" w14:textId="77777777" w:rsidR="00350350" w:rsidRDefault="00583A05">
      <w:pPr>
        <w:pStyle w:val="BodyText"/>
        <w:spacing w:after="283"/>
        <w:rPr>
          <w:sz w:val="24"/>
          <w:szCs w:val="24"/>
        </w:rPr>
      </w:pPr>
      <w:r>
        <w:rPr>
          <w:sz w:val="24"/>
          <w:szCs w:val="24"/>
        </w:rPr>
        <w:tab/>
        <w:t>Furthermore, the patella is excised, while the proximal fibula does not require osteotomy unless a more extensive proximal tibial resection is performed, in which case proximal fibular osteotomy is recommended, particularly in very young children (Ozger et al., 2022).</w:t>
      </w:r>
    </w:p>
    <w:p w14:paraId="0620F939" w14:textId="77777777" w:rsidR="00350350" w:rsidRDefault="00583A05">
      <w:pPr>
        <w:pStyle w:val="BodyText"/>
        <w:spacing w:after="283"/>
        <w:rPr>
          <w:sz w:val="24"/>
          <w:szCs w:val="24"/>
        </w:rPr>
      </w:pPr>
      <w:r>
        <w:rPr>
          <w:sz w:val="24"/>
          <w:szCs w:val="24"/>
        </w:rPr>
        <w:tab/>
        <w:t>Tibiofemoral osteosynthesis is achieved using internal fixation devices such as an intramedullary rod or a plate secured with screws, with an average healing time of two months in children and three to four months in adults (Lin &amp; Patel, 2013; Cañadell &amp; San-Julian, 2009; Kowalczyk &amp; Jarząb, 2021). The rotationplasty procedure entails the excision of the knee joint and its replacement with the talocrural (ankle) joint.</w:t>
      </w:r>
    </w:p>
    <w:p w14:paraId="3A05C218" w14:textId="77777777" w:rsidR="00350350" w:rsidRDefault="00583A05">
      <w:pPr>
        <w:pStyle w:val="BodyText"/>
        <w:spacing w:after="283"/>
        <w:rPr>
          <w:sz w:val="24"/>
          <w:szCs w:val="24"/>
        </w:rPr>
      </w:pPr>
      <w:r>
        <w:rPr>
          <w:sz w:val="24"/>
          <w:szCs w:val="24"/>
        </w:rPr>
        <w:tab/>
        <w:t>All anatomical structures of the knee joint are removed during rotationplasty due to the localisation of osteosarcoma in this region and the resultant pathological involvement of the knee structures. Conversely, the hip (coxofemoral) joint and the ankle (talocrural) joint remain intact. The talocrural joint, a weight-bearing joint composed of the articulating surfaces of the talus and the distal epiphyses of the tibia and fibula, assumes a pivotal role postoperatively as it functions as the new knee (d'Hooghe &amp; Kerkhoffs, 2014). Following rotationplasty, the ankle joint and its associated anatomical structures remain unaffected, playing a central role in postoperative function.</w:t>
      </w:r>
    </w:p>
    <w:p w14:paraId="09F3EA04" w14:textId="77777777" w:rsidR="00350350" w:rsidRDefault="00583A05">
      <w:pPr>
        <w:pStyle w:val="BodyText"/>
        <w:spacing w:after="283"/>
        <w:rPr>
          <w:sz w:val="24"/>
          <w:szCs w:val="24"/>
        </w:rPr>
      </w:pPr>
      <w:r>
        <w:rPr>
          <w:sz w:val="24"/>
          <w:szCs w:val="24"/>
        </w:rPr>
        <w:tab/>
        <w:t>The key muscles requiring resection and reattachment during the procedure include those of the thigh and calf. Intraoperatively, once all muscles of the affected lower limb have been severed, femur and tibia fixation is achieved using an osteosynthesis plate. Subsequently, the great saphenous vein is ligated, and the rectus femoris, vastus intermedius, and vastus medialis muscles are attached to the gastrocnemius, soleus, and toe flexor muscles. The biceps femoris and semimembranosus muscles are attached to the tibialis anterior muscle, while the semitendinosus muscle is connected to the extensor hallucis longus and extensor digitorum longus muscles. Additionally, the vastus lateralis is attached to the tibialis posterior, whereas the gracilis and sartorius muscles are linked to the peroneus longus and brevis muscles. Once all muscular attachments have been restored and the vascular and nervous structures have been preserved and rotated, skin closure is performed (Hydell, 2024).</w:t>
      </w:r>
    </w:p>
    <w:p w14:paraId="6D654004" w14:textId="77777777" w:rsidR="00350350" w:rsidRDefault="00583A05">
      <w:pPr>
        <w:pStyle w:val="BodyText"/>
        <w:spacing w:after="283"/>
        <w:rPr>
          <w:sz w:val="24"/>
          <w:szCs w:val="24"/>
        </w:rPr>
      </w:pPr>
      <w:r>
        <w:rPr>
          <w:sz w:val="24"/>
          <w:szCs w:val="24"/>
        </w:rPr>
        <w:tab/>
        <w:t>Following the procedure, the origin of the thigh muscles remains intact, while their insertion points are absent. Conversely, the origin of the calf muscles is excised, while their insertion sites are preserved. A study by Abbasi et al. (2021) entitled "Modified Rotationplasty as a Composite Free Flap for Femur and Thigh Reconstruction" demonstrated, via electromyographic analysis, that the overall activity of the calf muscles exhibited good coordination with the unaffected limb during both the stance and swing phases of gait, owing to the preserved relationship between agonist and antagonist muscles. This finding indicates the functional adaptation of the calf muscles to their new role (Abbasi et al., 2021).</w:t>
      </w:r>
    </w:p>
    <w:p w14:paraId="6055CBDE" w14:textId="77777777" w:rsidR="00350350" w:rsidRDefault="00583A05">
      <w:pPr>
        <w:pStyle w:val="BodyText"/>
        <w:spacing w:after="283"/>
        <w:rPr>
          <w:sz w:val="24"/>
          <w:szCs w:val="24"/>
        </w:rPr>
      </w:pPr>
      <w:r>
        <w:rPr>
          <w:sz w:val="24"/>
          <w:szCs w:val="24"/>
        </w:rPr>
        <w:lastRenderedPageBreak/>
        <w:tab/>
        <w:t>One of the most critical aspects of this procedure is the substantial preservation of the neurovascular system of the lower limb. Dissection primarily focuses on releasing the neurovascular structures within the segment designated for resection, which contains the tumour (Bernthal et al., 2014).</w:t>
      </w:r>
    </w:p>
    <w:p w14:paraId="567AEB93" w14:textId="77777777" w:rsidR="00350350" w:rsidRDefault="00583A05">
      <w:pPr>
        <w:pStyle w:val="BodyText"/>
        <w:spacing w:after="283"/>
        <w:rPr>
          <w:sz w:val="24"/>
          <w:szCs w:val="24"/>
        </w:rPr>
      </w:pPr>
      <w:r>
        <w:rPr>
          <w:sz w:val="24"/>
          <w:szCs w:val="24"/>
        </w:rPr>
        <w:tab/>
        <w:t>In cases involving distal femoral resection, surgical intervention aims to preserve the femoral artery and vein, along with the sciatic nerve. For a proximal tibial tumour, maximal preservation of nerves such as the tibial nerve, deep and superficial peroneal nerves, saphenous nerve, and sural nerve is pursued, alongside the anterior and posterior tibial arteries and veins (Bernthal et al., 2014). Most surgeons sacrifice the peroneal vessels near the interosseous membrane due to the proximity of the tumour. Additionally, many opt to sacrifice the anterior tibial artery due to the complexity of dissecting its course between the proximal fibula and tibia. At the tibial level, neither the tibial nerve nor the peroneal branches contribute significantly to motor function in the final rotationplasty outcome; their primary role is sensory. Consequently, either may be sacrificed for oncological principles if necessary, provided sufficient sensory innervation remains in the foot to facilitate prosthetic use (Bernthal et al., 2014).</w:t>
      </w:r>
    </w:p>
    <w:p w14:paraId="44AC3DC5" w14:textId="77777777" w:rsidR="00350350" w:rsidRDefault="00350350">
      <w:pPr>
        <w:spacing w:line="360" w:lineRule="auto"/>
        <w:jc w:val="both"/>
        <w:rPr>
          <w:b/>
          <w:bCs/>
          <w:sz w:val="24"/>
          <w:szCs w:val="24"/>
          <w:lang w:val="ro-RO"/>
        </w:rPr>
      </w:pPr>
    </w:p>
    <w:p w14:paraId="1ECA8077" w14:textId="77777777" w:rsidR="00350350" w:rsidRDefault="00583A05">
      <w:pPr>
        <w:pStyle w:val="BodyText"/>
        <w:spacing w:after="283"/>
        <w:rPr>
          <w:sz w:val="24"/>
          <w:szCs w:val="24"/>
        </w:rPr>
      </w:pPr>
      <w:r>
        <w:rPr>
          <w:b/>
          <w:bCs/>
          <w:sz w:val="24"/>
          <w:szCs w:val="24"/>
        </w:rPr>
        <w:t>Classification of Rotationplasty Procedures</w:t>
      </w:r>
    </w:p>
    <w:p w14:paraId="59AF1D29" w14:textId="77777777" w:rsidR="00350350" w:rsidRDefault="00583A05">
      <w:pPr>
        <w:pStyle w:val="BodyText"/>
        <w:spacing w:after="283"/>
        <w:rPr>
          <w:sz w:val="24"/>
          <w:szCs w:val="24"/>
        </w:rPr>
      </w:pPr>
      <w:r>
        <w:rPr>
          <w:sz w:val="24"/>
          <w:szCs w:val="24"/>
        </w:rPr>
        <w:tab/>
        <w:t>Due to the variable localisation of osteosarcoma within different regions of the lower limb, clinicians have developed a classification system that divides the rotationplasty procedure into two principal categories: Type A and Type B. Each category is further subdivided into distinct subgroups (Winkelmann, W., 1996).</w:t>
      </w:r>
    </w:p>
    <w:p w14:paraId="2DFE961F" w14:textId="77777777" w:rsidR="00350350" w:rsidRDefault="00583A05">
      <w:pPr>
        <w:pStyle w:val="BodyText"/>
        <w:spacing w:after="283"/>
        <w:rPr>
          <w:sz w:val="24"/>
          <w:szCs w:val="24"/>
        </w:rPr>
      </w:pPr>
      <w:r>
        <w:rPr>
          <w:sz w:val="24"/>
          <w:szCs w:val="24"/>
        </w:rPr>
        <w:tab/>
        <w:t>Type A.I rotationplasty is indicated for malignant tumours located in the distal third of the femur. In contrast, Type A.II is designated for malignant tumours within the proximal region of the tibia (Winkelmann, W., 1996).</w:t>
      </w:r>
    </w:p>
    <w:p w14:paraId="1AD1F024" w14:textId="77777777" w:rsidR="00350350" w:rsidRDefault="00583A05">
      <w:pPr>
        <w:pStyle w:val="BodyText"/>
        <w:spacing w:after="283"/>
        <w:rPr>
          <w:sz w:val="24"/>
          <w:szCs w:val="24"/>
        </w:rPr>
      </w:pPr>
      <w:r>
        <w:rPr>
          <w:sz w:val="24"/>
          <w:szCs w:val="24"/>
        </w:rPr>
        <w:tab/>
        <w:t>Within the Type B subcategory, various forms of hip rotationplasty are included, further classified into the following types: Type B.I (hip rotationplasty for malignant tumours situated in the proximal femur without hip joint involvement), Type B.II (hip rotationplasty for malignant tumours in the proximal femur with involvement of the lower part or the entirety of the hip joint), and Type B.III, which refers to rotationplasty for tumours necessitating the complete resection of the femur. This category is subsequently divided into specific subcategories: B.IIIa for paediatric patients and B.IIIb for adults (Winkelmann, W., 1996), as illustrated in "Figure 1. Types of Rotationplasty."</w:t>
      </w:r>
    </w:p>
    <w:p w14:paraId="02F6567F" w14:textId="77777777" w:rsidR="00350350" w:rsidRDefault="00350350">
      <w:pPr>
        <w:spacing w:line="360" w:lineRule="auto"/>
        <w:ind w:firstLine="284"/>
        <w:jc w:val="both"/>
        <w:rPr>
          <w:b/>
          <w:bCs/>
          <w:i/>
          <w:iCs/>
          <w:sz w:val="24"/>
          <w:szCs w:val="24"/>
          <w:lang w:val="ro-RO"/>
        </w:rPr>
      </w:pPr>
    </w:p>
    <w:p w14:paraId="3F60E934" w14:textId="77777777" w:rsidR="00350350" w:rsidRDefault="00583A05">
      <w:pPr>
        <w:spacing w:line="360" w:lineRule="auto"/>
        <w:ind w:firstLine="270"/>
        <w:jc w:val="both"/>
        <w:rPr>
          <w:sz w:val="24"/>
          <w:szCs w:val="24"/>
        </w:rPr>
      </w:pPr>
      <w:r>
        <w:rPr>
          <w:noProof/>
        </w:rPr>
        <w:lastRenderedPageBreak/>
        <w:drawing>
          <wp:inline distT="0" distB="0" distL="0" distR="0" wp14:anchorId="1C39DE71" wp14:editId="73174B5F">
            <wp:extent cx="5484495" cy="1816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2"/>
                    <a:stretch>
                      <a:fillRect/>
                    </a:stretch>
                  </pic:blipFill>
                  <pic:spPr bwMode="auto">
                    <a:xfrm>
                      <a:off x="0" y="0"/>
                      <a:ext cx="5484495" cy="1816100"/>
                    </a:xfrm>
                    <a:prstGeom prst="rect">
                      <a:avLst/>
                    </a:prstGeom>
                  </pic:spPr>
                </pic:pic>
              </a:graphicData>
            </a:graphic>
          </wp:inline>
        </w:drawing>
      </w:r>
    </w:p>
    <w:p w14:paraId="03DF4A09" w14:textId="77777777" w:rsidR="00350350" w:rsidRDefault="00583A05">
      <w:pPr>
        <w:jc w:val="center"/>
      </w:pPr>
      <w:r>
        <w:t>Figure 1. Types of Rotationplasty</w:t>
      </w:r>
    </w:p>
    <w:p w14:paraId="2827F318" w14:textId="77777777" w:rsidR="00350350" w:rsidRDefault="00350350">
      <w:pPr>
        <w:spacing w:line="276" w:lineRule="auto"/>
        <w:jc w:val="center"/>
        <w:rPr>
          <w:sz w:val="24"/>
          <w:szCs w:val="24"/>
        </w:rPr>
      </w:pPr>
    </w:p>
    <w:p w14:paraId="1FA59F8F" w14:textId="77777777" w:rsidR="00350350" w:rsidRDefault="00583A05">
      <w:pPr>
        <w:pStyle w:val="BodyText"/>
        <w:spacing w:after="283" w:line="276" w:lineRule="auto"/>
        <w:rPr>
          <w:sz w:val="24"/>
          <w:szCs w:val="24"/>
        </w:rPr>
      </w:pPr>
      <w:r>
        <w:rPr>
          <w:sz w:val="24"/>
          <w:szCs w:val="24"/>
        </w:rPr>
        <w:tab/>
        <w:t>A rotationplasty prosthesis typically comprises multiple components, namely: a thigh cuff with leather straps, a cast resin socket that supports the rotated foot, medial and lateral metal hinges, a pylon, and a carbon foot. The thigh cuff is utilised to stabilise the newly formed knee joint. Before fitting the prosthesis, it is essential to place a cotton sock over the operated lower limb.</w:t>
      </w:r>
    </w:p>
    <w:p w14:paraId="2FE70180" w14:textId="77777777" w:rsidR="00350350" w:rsidRDefault="00583A05">
      <w:pPr>
        <w:pStyle w:val="BodyText"/>
        <w:spacing w:after="283" w:line="276" w:lineRule="auto"/>
        <w:rPr>
          <w:sz w:val="24"/>
          <w:szCs w:val="24"/>
        </w:rPr>
      </w:pPr>
      <w:r>
        <w:rPr>
          <w:sz w:val="24"/>
          <w:szCs w:val="24"/>
        </w:rPr>
        <w:tab/>
        <w:t>The hinges connecting the socket and the brace are designed to bend in a manner that mimics the function of the knee joint while simultaneously supporting the ankle to facilitate movements ordinarily performed by the knee. The most common complications arising from excessive use of the prosthesis in daily activities include ankle pain and soft tissue damage. These adverse effects are primarily attributed to a poorly fitted prosthetic design, which leads to excessive strain on the ankle joint.</w:t>
      </w:r>
    </w:p>
    <w:p w14:paraId="4C314917" w14:textId="77777777" w:rsidR="00350350" w:rsidRDefault="00583A05">
      <w:pPr>
        <w:pStyle w:val="BodyText"/>
        <w:spacing w:after="283" w:line="276" w:lineRule="auto"/>
        <w:rPr>
          <w:sz w:val="24"/>
          <w:szCs w:val="24"/>
        </w:rPr>
      </w:pPr>
      <w:r>
        <w:rPr>
          <w:sz w:val="24"/>
          <w:szCs w:val="24"/>
        </w:rPr>
        <w:tab/>
        <w:t>Over time, numerous prosthetic models have been developed to enhance both the range of motion and overall comfort. (Morton, C., Mumford, M., Peterson, N., Veronie, A., &amp; Kirkvold, H., 2019)</w:t>
      </w:r>
    </w:p>
    <w:p w14:paraId="19CDDD09" w14:textId="77777777" w:rsidR="00350350" w:rsidRDefault="00350350">
      <w:pPr>
        <w:spacing w:line="276" w:lineRule="auto"/>
        <w:ind w:firstLine="567"/>
        <w:jc w:val="both"/>
        <w:rPr>
          <w:b/>
          <w:bCs/>
          <w:i/>
          <w:iCs/>
          <w:sz w:val="24"/>
          <w:szCs w:val="24"/>
        </w:rPr>
      </w:pPr>
    </w:p>
    <w:p w14:paraId="09A56868" w14:textId="77777777" w:rsidR="00350350" w:rsidRDefault="00583A05">
      <w:pPr>
        <w:pStyle w:val="BodyText"/>
        <w:spacing w:after="283" w:line="276" w:lineRule="auto"/>
        <w:rPr>
          <w:sz w:val="24"/>
          <w:szCs w:val="24"/>
        </w:rPr>
      </w:pPr>
      <w:r>
        <w:rPr>
          <w:b/>
          <w:bCs/>
          <w:sz w:val="24"/>
          <w:szCs w:val="24"/>
        </w:rPr>
        <w:t>Biomechanics of the Lower Limb Following Rotationplasty</w:t>
      </w:r>
    </w:p>
    <w:p w14:paraId="29A311DC" w14:textId="77777777" w:rsidR="00350350" w:rsidRDefault="00583A05">
      <w:pPr>
        <w:pStyle w:val="BodyText"/>
        <w:spacing w:after="283" w:line="276" w:lineRule="auto"/>
        <w:rPr>
          <w:sz w:val="24"/>
          <w:szCs w:val="24"/>
        </w:rPr>
      </w:pPr>
      <w:r>
        <w:rPr>
          <w:sz w:val="24"/>
          <w:szCs w:val="24"/>
        </w:rPr>
        <w:tab/>
        <w:t>The primary objective of this surgical intervention is to preserve the ideomotor representation of the knee joint by replacing it with the ankle joint. Consequently, knee flexion is substituted by ankle dorsiflexion, while knee extension is replaced by plantar flexion of the ankle. (Kowalczyk &amp; Jarząb, 2021) Prior to surgery, the ankle joint typically exhibits 20°–25° of dorsiflexion and 45° of plantar flexion. (Kicsi, 2023) Following rotationplasty, passive, active, active-assisted, and resistance-based mobilisation techniques, followed by ambulation using a prosthesis, contribute to an increase in the range of motion of the ankle, enabling successful performance of daily activities. (Kowalczyk &amp; Jarząb, 2021)</w:t>
      </w:r>
    </w:p>
    <w:p w14:paraId="6FF0E19C" w14:textId="77777777" w:rsidR="00350350" w:rsidRDefault="00583A05">
      <w:pPr>
        <w:pStyle w:val="BodyText"/>
        <w:spacing w:after="283" w:line="276" w:lineRule="auto"/>
        <w:rPr>
          <w:sz w:val="24"/>
          <w:szCs w:val="24"/>
        </w:rPr>
      </w:pPr>
      <w:r>
        <w:rPr>
          <w:sz w:val="24"/>
          <w:szCs w:val="24"/>
        </w:rPr>
        <w:tab/>
        <w:t xml:space="preserve">The biomechanics of the hip joint remain unchanged, allowing for the execution of movements such as flexion, extension, abduction, adduction, internal rotation, external rotation, and circumduction. However, in cases involving Type B rotationplasty, where the </w:t>
      </w:r>
      <w:r>
        <w:rPr>
          <w:sz w:val="24"/>
          <w:szCs w:val="24"/>
        </w:rPr>
        <w:lastRenderedPageBreak/>
        <w:t>hip joint is excised, only flexion and extension movements are preserved, while all other motions become impossible. (Kowalczyk &amp; Jarząb, 2021)</w:t>
      </w:r>
    </w:p>
    <w:p w14:paraId="070C22D3" w14:textId="77777777" w:rsidR="00350350" w:rsidRDefault="00583A05">
      <w:pPr>
        <w:pStyle w:val="BodyText"/>
        <w:spacing w:after="283" w:line="276" w:lineRule="auto"/>
        <w:rPr>
          <w:sz w:val="24"/>
          <w:szCs w:val="24"/>
        </w:rPr>
      </w:pPr>
      <w:r>
        <w:rPr>
          <w:sz w:val="24"/>
          <w:szCs w:val="24"/>
        </w:rPr>
        <w:tab/>
        <w:t>The coordination between the reattached muscles of the thigh and calf plays a crucial role in enabling the patient to achieve a high degree of mobility. Post-rotationplasty, dorsiflexion of the talocrural joint is facilitated by the biceps femoris, semimembranosus, semitendinosus, and tibialis anterior muscles, while plantar flexion is executed through the activity of the rectus femoris, vastus intermedius, vastus medialis, vastus lateralis, sartorius, gastrocnemius, and soleus muscles. This coordination effectively replicates the flexion-extension movement of the knee. (Murray et al., 1985)</w:t>
      </w:r>
    </w:p>
    <w:p w14:paraId="77A0A395" w14:textId="77777777" w:rsidR="00350350" w:rsidRDefault="00583A05">
      <w:pPr>
        <w:pStyle w:val="BodyText"/>
        <w:spacing w:after="283" w:line="276" w:lineRule="auto"/>
      </w:pPr>
      <w:r>
        <w:rPr>
          <w:sz w:val="24"/>
          <w:szCs w:val="24"/>
        </w:rPr>
        <w:tab/>
        <w:t xml:space="preserve">Additionally, the hip joint performs movements in all three planes, supported by a well-developed musculature. Hip flexion is primarily facilitated by the iliopsoas muscle, with accessory contributions from the sartorius, rectus femoris, gastrocnemius, and fibular muscles. Hip extension is achieved through the contraction of the gluteus maximus, gluteus medius, biceps femoris, semitendinosus, semimembranosus, and tibialis anterior. Abduction is carried out by the gluteal muscles, tensor fasciae latae, and piriformis, whereas adduction is executed by the pectineus, adductor magnus, adductor minimus, gracilis, and fibular muscles. Internal rotation is primarily facilitated by the gluteus medius and gluteus minimus, while external rotation is governed by the obturator externus, obturator internus, piriformis, superior gemellus, inferior gemellus, and quadratus femoris. (Buzescu, </w:t>
      </w:r>
      <w:r>
        <w:rPr>
          <w:rStyle w:val="Emphasis"/>
          <w:sz w:val="24"/>
          <w:szCs w:val="24"/>
        </w:rPr>
        <w:t>Anatomy and Biomechanics of the Major Joints of the Human Body</w:t>
      </w:r>
      <w:r>
        <w:rPr>
          <w:sz w:val="24"/>
          <w:szCs w:val="24"/>
        </w:rPr>
        <w:t>, course material; Murray et al., 1985)</w:t>
      </w:r>
    </w:p>
    <w:p w14:paraId="68B08E67" w14:textId="77777777" w:rsidR="00350350" w:rsidRDefault="00583A05">
      <w:pPr>
        <w:pStyle w:val="BodyText"/>
        <w:spacing w:after="283" w:line="276" w:lineRule="auto"/>
      </w:pPr>
      <w:r>
        <w:rPr>
          <w:sz w:val="24"/>
          <w:szCs w:val="24"/>
        </w:rPr>
        <w:tab/>
        <w:t xml:space="preserve">A 2003 study titled </w:t>
      </w:r>
      <w:r>
        <w:rPr>
          <w:rStyle w:val="Emphasis"/>
          <w:sz w:val="24"/>
          <w:szCs w:val="24"/>
        </w:rPr>
        <w:t>Functional Outcome of Patients with Rotationplasty About the Knee</w:t>
      </w:r>
      <w:r>
        <w:rPr>
          <w:sz w:val="24"/>
          <w:szCs w:val="24"/>
        </w:rPr>
        <w:t xml:space="preserve"> by Fuchs, Kotajarvi, Kaufman, and Sim highlights that the range of motion of the pelvis, hip, and ankle in rotationplasty patients does not significantly differ from that of the general population. The most notable alteration in the kinematic pattern of rotationplasty patients was observed in the ankle joint, where the range of motion was slightly reduced at heel strike and toe-off. This limitation is attributed to the use of a </w:t>
      </w:r>
      <w:r>
        <w:rPr>
          <w:rStyle w:val="Emphasis"/>
          <w:sz w:val="24"/>
          <w:szCs w:val="24"/>
        </w:rPr>
        <w:t>Solid Ankle Cushioned Heel</w:t>
      </w:r>
      <w:r>
        <w:rPr>
          <w:sz w:val="24"/>
          <w:szCs w:val="24"/>
        </w:rPr>
        <w:t xml:space="preserve"> prosthesis, which restricts ankle mobility. (Fuchs et al., 2003)</w:t>
      </w:r>
    </w:p>
    <w:p w14:paraId="5853E83F" w14:textId="77777777" w:rsidR="00350350" w:rsidRDefault="00583A05">
      <w:pPr>
        <w:pStyle w:val="BodyText"/>
        <w:spacing w:after="283" w:line="276" w:lineRule="auto"/>
      </w:pPr>
      <w:r>
        <w:rPr>
          <w:sz w:val="24"/>
          <w:szCs w:val="24"/>
        </w:rPr>
        <w:tab/>
        <w:t xml:space="preserve">Similarly, the 1985 study </w:t>
      </w:r>
      <w:r>
        <w:rPr>
          <w:rStyle w:val="Emphasis"/>
          <w:sz w:val="24"/>
          <w:szCs w:val="24"/>
        </w:rPr>
        <w:t>Functional Performance after Tibial Rotationplasty</w:t>
      </w:r>
      <w:r>
        <w:rPr>
          <w:sz w:val="24"/>
          <w:szCs w:val="24"/>
        </w:rPr>
        <w:t xml:space="preserve">, published in </w:t>
      </w:r>
      <w:r>
        <w:rPr>
          <w:rStyle w:val="Emphasis"/>
          <w:sz w:val="24"/>
          <w:szCs w:val="24"/>
        </w:rPr>
        <w:t>The Journal of Bone and Joint Surgery</w:t>
      </w:r>
      <w:r>
        <w:rPr>
          <w:sz w:val="24"/>
          <w:szCs w:val="24"/>
        </w:rPr>
        <w:t xml:space="preserve"> by Murray, Jacobs, Gore, Gardner, and Mollinger, examined two paediatric rotationplasty cases. The researchers measured active and passive joint range of motion, plantar flexor and extensor muscle strength, weight distribution between the prosthetic and intact limb in a standing position, gait and running patterns, and electromyographic activity during walking, running, and stair climbing. They found that, unlike patients with above-knee amputations, rotationplasty patients demonstrated superior performance in various activities due to their active control over the prosthetic knee joint. While above-knee amputees struggle with running and stair climbing, rotationplasty patients can perform these activities with some limitations, particularly at the talocrural joint. Additionally, the study revealed that the pretibial muscles of the operated limb assume several functions of the hamstring and quadriceps muscles, allowing the ankle joint to </w:t>
      </w:r>
      <w:r>
        <w:rPr>
          <w:sz w:val="24"/>
          <w:szCs w:val="24"/>
        </w:rPr>
        <w:lastRenderedPageBreak/>
        <w:t>effectively serve as a functional knee substitute during locomotion and other activities. (Murray et al., 1985)</w:t>
      </w:r>
    </w:p>
    <w:p w14:paraId="2601A922" w14:textId="77777777" w:rsidR="00350350" w:rsidRDefault="00350350">
      <w:pPr>
        <w:spacing w:line="276" w:lineRule="auto"/>
        <w:ind w:firstLine="270"/>
        <w:jc w:val="both"/>
        <w:rPr>
          <w:sz w:val="24"/>
          <w:szCs w:val="24"/>
        </w:rPr>
      </w:pPr>
    </w:p>
    <w:p w14:paraId="28C23493" w14:textId="77777777" w:rsidR="00350350" w:rsidRDefault="00583A05">
      <w:pPr>
        <w:pStyle w:val="BodyText"/>
        <w:spacing w:after="283" w:line="276" w:lineRule="auto"/>
        <w:rPr>
          <w:sz w:val="24"/>
          <w:szCs w:val="24"/>
        </w:rPr>
      </w:pPr>
      <w:r>
        <w:rPr>
          <w:b/>
          <w:bCs/>
          <w:sz w:val="24"/>
          <w:szCs w:val="24"/>
        </w:rPr>
        <w:t>Physiotherapy Following Rotationplasty Surgery</w:t>
      </w:r>
    </w:p>
    <w:p w14:paraId="3D67C039" w14:textId="77777777" w:rsidR="00350350" w:rsidRDefault="00583A05">
      <w:pPr>
        <w:pStyle w:val="BodyText"/>
        <w:spacing w:after="283" w:line="276" w:lineRule="auto"/>
        <w:rPr>
          <w:sz w:val="24"/>
          <w:szCs w:val="24"/>
        </w:rPr>
      </w:pPr>
      <w:r>
        <w:rPr>
          <w:sz w:val="24"/>
          <w:szCs w:val="24"/>
        </w:rPr>
        <w:tab/>
        <w:t>Postoperative treatment for rotationplasty includes physiotherapeutic interventions and associated modalities such as massage and manual therapy. A crucial aspect of patient recovery involves active, passive, and active-assisted mobilisation of the hip and ankle joints, alongside scar mobilisation following surgery. Scar mobilisation is performed by the physiotherapist, who, in addition to manual techniques, may utilise cupping therapy (CUPPING) or instrument-assisted soft tissue mobilisation (IASTM) to optimise scar mobility. Regarding massage and manual therapy, these techniques contribute to the stimulation of the vasculotrophic and myofascial systems, both of which are essential for optimal postoperative recovery (Kowalczyk &amp; Jarząb, 2021; James &amp; Solove, 2022).</w:t>
      </w:r>
    </w:p>
    <w:p w14:paraId="504615DC" w14:textId="77777777" w:rsidR="00350350" w:rsidRDefault="00583A05">
      <w:pPr>
        <w:pStyle w:val="BodyText"/>
        <w:spacing w:after="283" w:line="276" w:lineRule="auto"/>
      </w:pPr>
      <w:r>
        <w:rPr>
          <w:sz w:val="24"/>
          <w:szCs w:val="24"/>
        </w:rPr>
        <w:tab/>
        <w:t xml:space="preserve">Neuroproprioceptive facilitation techniques (NPF) represent a valuable adjunct in the rehabilitation plan following rotationplasty. Proprioceptive stimulation, often combined with exteroceptive stimulation, is facilitated through manual contact, involving manipulations such as joint traction and compression, grip application, muscle stretching, vibration, and resistance against movement (Cordun, 1999). The application of NPF techniques leads to significant strengthening of the flexor and extensor muscles of the rotated hip and ankle, as well as enhanced mobility of the operated lower limb. Additionally, a study by Anjum, Amjad, and Malik (2016), published under the title </w:t>
      </w:r>
      <w:r>
        <w:rPr>
          <w:rStyle w:val="Emphasis"/>
          <w:sz w:val="24"/>
          <w:szCs w:val="24"/>
        </w:rPr>
        <w:t>Effectiveness of Proprioceptive Neuromuscular Facilitation Techniques as Compared to Traditional Strength Training in Gait Training Among Transtibial Amputees</w:t>
      </w:r>
      <w:r>
        <w:rPr>
          <w:sz w:val="24"/>
          <w:szCs w:val="24"/>
        </w:rPr>
        <w:t>, highlighted that NPF techniques contribute to notable improvements in locomotor and functional outcomes among patients with below-knee amputations (Anjum, Amjad, &amp; Malik, 2016).</w:t>
      </w:r>
    </w:p>
    <w:p w14:paraId="2BC179E1" w14:textId="77777777" w:rsidR="00350350" w:rsidRDefault="00583A05">
      <w:pPr>
        <w:pStyle w:val="BodyText"/>
        <w:spacing w:after="283" w:line="276" w:lineRule="auto"/>
        <w:rPr>
          <w:sz w:val="24"/>
          <w:szCs w:val="24"/>
        </w:rPr>
      </w:pPr>
      <w:r>
        <w:rPr>
          <w:sz w:val="24"/>
          <w:szCs w:val="24"/>
        </w:rPr>
        <w:tab/>
        <w:t>Furthermore, medical practitioners may prescribe a range of medications to be administered by the patient. These medications aim to alleviate pain and prevent complications such as infections or venous thrombosis.</w:t>
      </w:r>
    </w:p>
    <w:p w14:paraId="386D883A" w14:textId="77777777" w:rsidR="00350350" w:rsidRDefault="00583A05">
      <w:pPr>
        <w:pStyle w:val="BodyText"/>
        <w:spacing w:after="283" w:line="276" w:lineRule="auto"/>
        <w:rPr>
          <w:sz w:val="24"/>
          <w:szCs w:val="24"/>
        </w:rPr>
      </w:pPr>
      <w:r>
        <w:rPr>
          <w:sz w:val="24"/>
          <w:szCs w:val="24"/>
        </w:rPr>
        <w:tab/>
        <w:t>Electrotherapy modalities, including magnetotherapy, ultrasound therapy, laser therapy, and light therapy, are contraindicated due to the young age of patients, the presence of metallic elements used to stabilise bones, as well as malignancies and chemotherapy (Kowalczyk &amp; Jarząb, 2021; James &amp; Solove, 2022).</w:t>
      </w:r>
    </w:p>
    <w:p w14:paraId="5D0FEA97" w14:textId="77777777" w:rsidR="00350350" w:rsidRDefault="00583A05">
      <w:pPr>
        <w:pStyle w:val="BodyText"/>
        <w:spacing w:after="283" w:line="276" w:lineRule="auto"/>
        <w:rPr>
          <w:sz w:val="24"/>
          <w:szCs w:val="24"/>
        </w:rPr>
      </w:pPr>
      <w:r>
        <w:rPr>
          <w:sz w:val="24"/>
          <w:szCs w:val="24"/>
        </w:rPr>
        <w:tab/>
        <w:t>An individualised physiotherapy programme is essential for maximising the likelihood of patients returning to daily activities. Rehabilitation following rotationplasty, as with other surgical interventions, should encompass:</w:t>
      </w:r>
    </w:p>
    <w:p w14:paraId="46A794AC"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Preoperative management</w:t>
      </w:r>
    </w:p>
    <w:p w14:paraId="25FF60F4"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Postoperative pre-prosthetic management</w:t>
      </w:r>
    </w:p>
    <w:p w14:paraId="51373BA5"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lastRenderedPageBreak/>
        <w:t>Postoperative post-prosthetic management</w:t>
      </w:r>
    </w:p>
    <w:p w14:paraId="4EF7FBF6" w14:textId="77777777" w:rsidR="00350350" w:rsidRDefault="00583A05">
      <w:pPr>
        <w:pStyle w:val="BodyText"/>
        <w:numPr>
          <w:ilvl w:val="0"/>
          <w:numId w:val="5"/>
        </w:numPr>
        <w:tabs>
          <w:tab w:val="clear" w:pos="709"/>
          <w:tab w:val="left" w:pos="0"/>
        </w:tabs>
        <w:spacing w:after="283" w:line="276" w:lineRule="auto"/>
        <w:rPr>
          <w:sz w:val="24"/>
          <w:szCs w:val="24"/>
        </w:rPr>
      </w:pPr>
      <w:r>
        <w:rPr>
          <w:sz w:val="24"/>
          <w:szCs w:val="24"/>
        </w:rPr>
        <w:t>Prevention and treatment of postoperative complications</w:t>
      </w:r>
    </w:p>
    <w:p w14:paraId="1A89F019" w14:textId="77777777" w:rsidR="00350350" w:rsidRDefault="00583A05">
      <w:pPr>
        <w:pStyle w:val="BodyText"/>
        <w:spacing w:after="283" w:line="276" w:lineRule="auto"/>
        <w:rPr>
          <w:sz w:val="24"/>
          <w:szCs w:val="24"/>
        </w:rPr>
      </w:pPr>
      <w:r>
        <w:rPr>
          <w:sz w:val="24"/>
          <w:szCs w:val="24"/>
        </w:rPr>
        <w:tab/>
        <w:t>The rehabilitation programme following rotationplasty is structured into four phases:</w:t>
      </w:r>
    </w:p>
    <w:p w14:paraId="38CCBFDB"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within the first six weeks (acute phase)</w:t>
      </w:r>
    </w:p>
    <w:p w14:paraId="21E9070F"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after six weeks (subacute phase)</w:t>
      </w:r>
    </w:p>
    <w:p w14:paraId="03C07D68"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between three and six months (chronic phase)</w:t>
      </w:r>
    </w:p>
    <w:p w14:paraId="0A979FAE" w14:textId="77777777" w:rsidR="00350350" w:rsidRDefault="00583A05">
      <w:pPr>
        <w:pStyle w:val="BodyText"/>
        <w:numPr>
          <w:ilvl w:val="0"/>
          <w:numId w:val="6"/>
        </w:numPr>
        <w:tabs>
          <w:tab w:val="clear" w:pos="709"/>
          <w:tab w:val="left" w:pos="0"/>
        </w:tabs>
        <w:spacing w:after="283" w:line="276" w:lineRule="auto"/>
        <w:rPr>
          <w:sz w:val="24"/>
          <w:szCs w:val="24"/>
        </w:rPr>
      </w:pPr>
      <w:r>
        <w:rPr>
          <w:sz w:val="24"/>
          <w:szCs w:val="24"/>
        </w:rPr>
        <w:t>Recovery beyond six months (chronic phase)</w:t>
      </w:r>
    </w:p>
    <w:p w14:paraId="75D57FB8" w14:textId="77777777" w:rsidR="00350350" w:rsidRDefault="00583A05">
      <w:pPr>
        <w:pStyle w:val="BodyText"/>
        <w:spacing w:after="283" w:line="276" w:lineRule="auto"/>
      </w:pPr>
      <w:r>
        <w:rPr>
          <w:sz w:val="24"/>
          <w:szCs w:val="24"/>
        </w:rPr>
        <w:tab/>
        <w:t xml:space="preserve">Each phase is associated with distinct objectives, as outlined in </w:t>
      </w:r>
      <w:r>
        <w:rPr>
          <w:rStyle w:val="Emphasis"/>
          <w:sz w:val="24"/>
          <w:szCs w:val="24"/>
        </w:rPr>
        <w:t>Table 1. Rehabilitation Objectives Following Rotationplasty</w:t>
      </w:r>
      <w:r>
        <w:rPr>
          <w:sz w:val="24"/>
          <w:szCs w:val="24"/>
        </w:rPr>
        <w:t xml:space="preserve"> (James &amp; Solove, 2022).</w:t>
      </w:r>
    </w:p>
    <w:p w14:paraId="1A91A7D0" w14:textId="77777777" w:rsidR="00350350" w:rsidRDefault="00350350">
      <w:pPr>
        <w:spacing w:line="276" w:lineRule="auto"/>
        <w:rPr>
          <w:sz w:val="24"/>
          <w:szCs w:val="24"/>
          <w:lang w:val="ro-RO"/>
        </w:rPr>
      </w:pPr>
    </w:p>
    <w:p w14:paraId="60DF94AD" w14:textId="77777777" w:rsidR="00350350" w:rsidRDefault="00583A05">
      <w:pPr>
        <w:rPr>
          <w:lang w:val="ro-RO"/>
        </w:rPr>
      </w:pPr>
      <w:r>
        <w:rPr>
          <w:rStyle w:val="Emphasis"/>
          <w:lang w:val="ro-RO"/>
        </w:rPr>
        <w:t>Table 1. Rehabilitation Objectives Following Rotationplasty</w:t>
      </w:r>
    </w:p>
    <w:tbl>
      <w:tblPr>
        <w:tblStyle w:val="TableGrid"/>
        <w:tblW w:w="9498" w:type="dxa"/>
        <w:tblInd w:w="-431" w:type="dxa"/>
        <w:tblLayout w:type="fixed"/>
        <w:tblLook w:val="04A0" w:firstRow="1" w:lastRow="0" w:firstColumn="1" w:lastColumn="0" w:noHBand="0" w:noVBand="1"/>
      </w:tblPr>
      <w:tblGrid>
        <w:gridCol w:w="2410"/>
        <w:gridCol w:w="7088"/>
      </w:tblGrid>
      <w:tr w:rsidR="00350350" w14:paraId="70F53AA9" w14:textId="77777777">
        <w:tc>
          <w:tcPr>
            <w:tcW w:w="2410" w:type="dxa"/>
          </w:tcPr>
          <w:p w14:paraId="7C57A0F0" w14:textId="77777777" w:rsidR="00350350" w:rsidRDefault="00583A05">
            <w:pPr>
              <w:jc w:val="center"/>
            </w:pPr>
            <w:r>
              <w:t>Phase</w:t>
            </w:r>
          </w:p>
        </w:tc>
        <w:tc>
          <w:tcPr>
            <w:tcW w:w="7087" w:type="dxa"/>
          </w:tcPr>
          <w:p w14:paraId="48C60D33" w14:textId="77777777" w:rsidR="00350350" w:rsidRDefault="00583A05">
            <w:pPr>
              <w:jc w:val="center"/>
            </w:pPr>
            <w:r>
              <w:t>Objectives</w:t>
            </w:r>
          </w:p>
        </w:tc>
      </w:tr>
      <w:tr w:rsidR="00350350" w14:paraId="6CBF2C74" w14:textId="77777777">
        <w:tc>
          <w:tcPr>
            <w:tcW w:w="2410" w:type="dxa"/>
          </w:tcPr>
          <w:p w14:paraId="0AD85D22" w14:textId="77777777" w:rsidR="00350350" w:rsidRDefault="00583A05">
            <w:pPr>
              <w:jc w:val="center"/>
            </w:pPr>
            <w:r>
              <w:t>Acute Phase</w:t>
            </w:r>
          </w:p>
        </w:tc>
        <w:tc>
          <w:tcPr>
            <w:tcW w:w="7087" w:type="dxa"/>
          </w:tcPr>
          <w:p w14:paraId="29799F05" w14:textId="77777777" w:rsidR="00350350" w:rsidRDefault="00583A05">
            <w:pPr>
              <w:pStyle w:val="BodyText"/>
              <w:numPr>
                <w:ilvl w:val="0"/>
                <w:numId w:val="1"/>
              </w:numPr>
              <w:spacing w:line="360" w:lineRule="auto"/>
              <w:ind w:left="360"/>
              <w:jc w:val="left"/>
              <w:rPr>
                <w:sz w:val="20"/>
              </w:rPr>
            </w:pPr>
            <w:r>
              <w:rPr>
                <w:sz w:val="20"/>
              </w:rPr>
              <w:t>Protection of the operated lower limb</w:t>
            </w:r>
          </w:p>
          <w:p w14:paraId="39D6491A" w14:textId="77777777" w:rsidR="00350350" w:rsidRDefault="00583A05">
            <w:pPr>
              <w:pStyle w:val="BodyText"/>
              <w:numPr>
                <w:ilvl w:val="0"/>
                <w:numId w:val="1"/>
              </w:numPr>
              <w:spacing w:line="360" w:lineRule="auto"/>
              <w:ind w:left="360"/>
              <w:jc w:val="left"/>
            </w:pPr>
            <w:r>
              <w:rPr>
                <w:sz w:val="20"/>
              </w:rPr>
              <w:t>Preservation of range of motion in the hip and ankle joints</w:t>
            </w:r>
            <w:r>
              <w:rPr>
                <w:sz w:val="20"/>
              </w:rPr>
              <w:br/>
            </w:r>
            <w:r>
              <w:rPr>
                <w:rStyle w:val="Strong"/>
                <w:sz w:val="20"/>
              </w:rPr>
              <w:t>Note:</w:t>
            </w:r>
            <w:r>
              <w:rPr>
                <w:sz w:val="20"/>
              </w:rPr>
              <w:t xml:space="preserve"> It is crucial to maintain a neutral position of the lower limb at all times.</w:t>
            </w:r>
          </w:p>
        </w:tc>
      </w:tr>
      <w:tr w:rsidR="00350350" w14:paraId="72711660" w14:textId="77777777">
        <w:tc>
          <w:tcPr>
            <w:tcW w:w="2410" w:type="dxa"/>
          </w:tcPr>
          <w:p w14:paraId="7D195F50" w14:textId="77777777" w:rsidR="00350350" w:rsidRDefault="00583A05">
            <w:pPr>
              <w:jc w:val="center"/>
            </w:pPr>
            <w:r>
              <w:rPr>
                <w:rStyle w:val="Strong"/>
                <w:b w:val="0"/>
                <w:bCs w:val="0"/>
              </w:rPr>
              <w:t>Subacute Phase</w:t>
            </w:r>
          </w:p>
        </w:tc>
        <w:tc>
          <w:tcPr>
            <w:tcW w:w="7087" w:type="dxa"/>
          </w:tcPr>
          <w:p w14:paraId="516A85F5" w14:textId="77777777" w:rsidR="00350350" w:rsidRDefault="00583A05">
            <w:pPr>
              <w:pStyle w:val="BodyText"/>
              <w:numPr>
                <w:ilvl w:val="0"/>
                <w:numId w:val="2"/>
              </w:numPr>
              <w:spacing w:line="360" w:lineRule="auto"/>
              <w:contextualSpacing/>
              <w:jc w:val="left"/>
              <w:rPr>
                <w:sz w:val="20"/>
              </w:rPr>
            </w:pPr>
            <w:r>
              <w:rPr>
                <w:sz w:val="20"/>
              </w:rPr>
              <w:t>Increase in range of motion at the hip (coxo-femoral) and ankle (talo-crural) joints</w:t>
            </w:r>
          </w:p>
          <w:p w14:paraId="7EA1F89E" w14:textId="77777777" w:rsidR="00350350" w:rsidRDefault="00583A05">
            <w:pPr>
              <w:pStyle w:val="BodyText"/>
              <w:numPr>
                <w:ilvl w:val="0"/>
                <w:numId w:val="2"/>
              </w:numPr>
              <w:spacing w:line="360" w:lineRule="auto"/>
              <w:contextualSpacing/>
              <w:jc w:val="left"/>
              <w:rPr>
                <w:sz w:val="20"/>
              </w:rPr>
            </w:pPr>
            <w:r>
              <w:rPr>
                <w:sz w:val="20"/>
              </w:rPr>
              <w:t>Development of muscular strength</w:t>
            </w:r>
          </w:p>
          <w:p w14:paraId="26CBC5D4" w14:textId="77777777" w:rsidR="00350350" w:rsidRDefault="00583A05">
            <w:pPr>
              <w:pStyle w:val="BodyText"/>
              <w:numPr>
                <w:ilvl w:val="0"/>
                <w:numId w:val="2"/>
              </w:numPr>
              <w:spacing w:line="360" w:lineRule="auto"/>
              <w:contextualSpacing/>
              <w:jc w:val="left"/>
              <w:rPr>
                <w:sz w:val="20"/>
              </w:rPr>
            </w:pPr>
            <w:r>
              <w:rPr>
                <w:sz w:val="20"/>
              </w:rPr>
              <w:t>Restoration of body awareness</w:t>
            </w:r>
          </w:p>
        </w:tc>
      </w:tr>
      <w:tr w:rsidR="00350350" w14:paraId="49886F0F" w14:textId="77777777">
        <w:tc>
          <w:tcPr>
            <w:tcW w:w="2410" w:type="dxa"/>
          </w:tcPr>
          <w:p w14:paraId="77746233" w14:textId="77777777" w:rsidR="00350350" w:rsidRDefault="00583A05">
            <w:pPr>
              <w:jc w:val="center"/>
            </w:pPr>
            <w:r>
              <w:rPr>
                <w:rStyle w:val="Strong"/>
                <w:b w:val="0"/>
                <w:bCs w:val="0"/>
              </w:rPr>
              <w:t>Chronic Phase (3–6 months)</w:t>
            </w:r>
          </w:p>
        </w:tc>
        <w:tc>
          <w:tcPr>
            <w:tcW w:w="7087" w:type="dxa"/>
          </w:tcPr>
          <w:p w14:paraId="46E82C26" w14:textId="77777777" w:rsidR="00350350" w:rsidRDefault="00583A05">
            <w:pPr>
              <w:pStyle w:val="BodyText"/>
              <w:numPr>
                <w:ilvl w:val="0"/>
                <w:numId w:val="3"/>
              </w:numPr>
              <w:spacing w:line="360" w:lineRule="auto"/>
              <w:contextualSpacing/>
              <w:jc w:val="left"/>
              <w:rPr>
                <w:sz w:val="20"/>
              </w:rPr>
            </w:pPr>
            <w:r>
              <w:rPr>
                <w:sz w:val="20"/>
              </w:rPr>
              <w:t>Further improvement of range of motion</w:t>
            </w:r>
          </w:p>
          <w:p w14:paraId="53F27DC1" w14:textId="77777777" w:rsidR="00350350" w:rsidRDefault="00583A05">
            <w:pPr>
              <w:pStyle w:val="BodyText"/>
              <w:numPr>
                <w:ilvl w:val="0"/>
                <w:numId w:val="3"/>
              </w:numPr>
              <w:spacing w:line="360" w:lineRule="auto"/>
              <w:contextualSpacing/>
              <w:jc w:val="left"/>
              <w:rPr>
                <w:sz w:val="20"/>
              </w:rPr>
            </w:pPr>
            <w:r>
              <w:rPr>
                <w:sz w:val="20"/>
              </w:rPr>
              <w:t>Enhancement of muscular strength</w:t>
            </w:r>
          </w:p>
          <w:p w14:paraId="18CF27B0" w14:textId="77777777" w:rsidR="00350350" w:rsidRDefault="00583A05">
            <w:pPr>
              <w:pStyle w:val="BodyText"/>
              <w:numPr>
                <w:ilvl w:val="0"/>
                <w:numId w:val="3"/>
              </w:numPr>
              <w:spacing w:line="360" w:lineRule="auto"/>
              <w:contextualSpacing/>
              <w:jc w:val="left"/>
              <w:rPr>
                <w:sz w:val="20"/>
              </w:rPr>
            </w:pPr>
            <w:r>
              <w:rPr>
                <w:sz w:val="20"/>
              </w:rPr>
              <w:t>Increase in cardiorespiratory capacity</w:t>
            </w:r>
          </w:p>
          <w:p w14:paraId="5E3244DB" w14:textId="77777777" w:rsidR="00350350" w:rsidRDefault="00583A05">
            <w:pPr>
              <w:pStyle w:val="BodyText"/>
              <w:numPr>
                <w:ilvl w:val="0"/>
                <w:numId w:val="3"/>
              </w:numPr>
              <w:spacing w:line="360" w:lineRule="auto"/>
              <w:contextualSpacing/>
              <w:jc w:val="left"/>
              <w:rPr>
                <w:sz w:val="20"/>
              </w:rPr>
            </w:pPr>
            <w:r>
              <w:rPr>
                <w:sz w:val="20"/>
              </w:rPr>
              <w:t>Restoration of lower limb function, balance, and gait</w:t>
            </w:r>
          </w:p>
        </w:tc>
      </w:tr>
      <w:tr w:rsidR="00350350" w14:paraId="6ABE42F8" w14:textId="77777777">
        <w:tc>
          <w:tcPr>
            <w:tcW w:w="2410" w:type="dxa"/>
          </w:tcPr>
          <w:p w14:paraId="121962B3" w14:textId="77777777" w:rsidR="00350350" w:rsidRDefault="00583A05">
            <w:pPr>
              <w:jc w:val="center"/>
              <w:rPr>
                <w:b/>
                <w:bCs/>
              </w:rPr>
            </w:pPr>
            <w:r>
              <w:rPr>
                <w:rStyle w:val="Strong"/>
                <w:b w:val="0"/>
                <w:bCs w:val="0"/>
              </w:rPr>
              <w:t>Chronic Phase (beyond 6 months)</w:t>
            </w:r>
          </w:p>
        </w:tc>
        <w:tc>
          <w:tcPr>
            <w:tcW w:w="7087" w:type="dxa"/>
          </w:tcPr>
          <w:p w14:paraId="72EC351B" w14:textId="77777777" w:rsidR="00350350" w:rsidRDefault="00583A05">
            <w:pPr>
              <w:pStyle w:val="ListParagraph"/>
              <w:numPr>
                <w:ilvl w:val="0"/>
                <w:numId w:val="4"/>
              </w:numPr>
              <w:spacing w:after="0" w:line="360" w:lineRule="auto"/>
              <w:rPr>
                <w:sz w:val="20"/>
                <w:szCs w:val="20"/>
              </w:rPr>
            </w:pPr>
            <w:r>
              <w:rPr>
                <w:rFonts w:ascii="Times New Roman" w:hAnsi="Times New Roman"/>
                <w:sz w:val="20"/>
                <w:szCs w:val="20"/>
              </w:rPr>
              <w:t>Reintegration into daily activities</w:t>
            </w:r>
          </w:p>
        </w:tc>
      </w:tr>
    </w:tbl>
    <w:p w14:paraId="201C0F2B" w14:textId="77777777" w:rsidR="00350350" w:rsidRDefault="00350350">
      <w:pPr>
        <w:spacing w:line="360" w:lineRule="auto"/>
        <w:jc w:val="both"/>
        <w:rPr>
          <w:sz w:val="24"/>
          <w:szCs w:val="24"/>
          <w:lang w:val="ro-RO"/>
        </w:rPr>
      </w:pPr>
    </w:p>
    <w:p w14:paraId="6F7EADC0" w14:textId="77777777" w:rsidR="00350350" w:rsidRDefault="00583A05">
      <w:pPr>
        <w:pStyle w:val="BodyText"/>
        <w:spacing w:after="283"/>
      </w:pPr>
      <w:r>
        <w:tab/>
        <w:t>During the acute phase, the operated lower limb is immobilised to allow for the healing of all structures involved in the procedure. The focus is on maintaining activity in the unaffected extremities while gradually engaging the operated limb in light movements (James &amp; Solove, 2022).</w:t>
      </w:r>
    </w:p>
    <w:p w14:paraId="69DC8360" w14:textId="77777777" w:rsidR="00350350" w:rsidRDefault="00583A05">
      <w:pPr>
        <w:pStyle w:val="BodyText"/>
        <w:spacing w:after="283"/>
      </w:pPr>
      <w:r>
        <w:tab/>
        <w:t>In the subacute phase, the rehabilitation specialist determines the appropriate timing for initiating passive mobilisation of the ankle in the operated limb. Additionally, emphasis is placed on cardiovascular exercises and core muscle strengthening. During this period, the prosthesis for the operated limb is also constructed (James &amp; Solove, 2022).</w:t>
      </w:r>
    </w:p>
    <w:p w14:paraId="4BA8F7FB" w14:textId="77777777" w:rsidR="00350350" w:rsidRDefault="00583A05">
      <w:pPr>
        <w:pStyle w:val="BodyText"/>
        <w:spacing w:after="283"/>
      </w:pPr>
      <w:r>
        <w:tab/>
        <w:t>Once the bones have healed, the patient can progressively bear more weight on the operated limb. The primary rehabilitation objectives after three months of postoperative recovery include increasing the range of motion, muscle strength, and cardiorespiratory capacity, enabling the patient to begin walking. The physician and physiotherapists will guide patients on when they can start wearing the prosthesis and engaging in prosthetic training exercises (James &amp; Solove, 2022).</w:t>
      </w:r>
    </w:p>
    <w:p w14:paraId="2C3E268F" w14:textId="77777777" w:rsidR="00350350" w:rsidRDefault="00583A05">
      <w:pPr>
        <w:pStyle w:val="BodyText"/>
        <w:spacing w:after="283"/>
      </w:pPr>
      <w:r>
        <w:lastRenderedPageBreak/>
        <w:tab/>
        <w:t>The final phase of rehabilitation is primarily focused on facilitating the patient’s return to pre-surgical activities. Exercises are designed based on daily functional tasks, such as stair climbing, standing up after a fall, jumping, and changing direction (James &amp; Solove, 2022).</w:t>
      </w:r>
    </w:p>
    <w:p w14:paraId="675A15A3" w14:textId="77777777" w:rsidR="00350350" w:rsidRDefault="00583A05">
      <w:pPr>
        <w:pStyle w:val="BodyText"/>
        <w:spacing w:after="283"/>
      </w:pPr>
      <w:r>
        <w:tab/>
        <w:t>It is important to highlight that upon completing the postoperative physiotherapy programme, the patient should continue physiotherapy sessions on a prophylactic basis to maintain muscle tone and joint mobility.</w:t>
      </w:r>
    </w:p>
    <w:p w14:paraId="05FCF851" w14:textId="77777777" w:rsidR="00350350" w:rsidRDefault="00350350">
      <w:pPr>
        <w:spacing w:line="360" w:lineRule="auto"/>
        <w:ind w:firstLine="360"/>
        <w:jc w:val="both"/>
        <w:rPr>
          <w:sz w:val="24"/>
          <w:szCs w:val="24"/>
        </w:rPr>
      </w:pPr>
    </w:p>
    <w:p w14:paraId="54CEF6B1" w14:textId="77777777" w:rsidR="00350350" w:rsidRDefault="00583A05">
      <w:pPr>
        <w:pStyle w:val="BodyText"/>
        <w:spacing w:after="283"/>
        <w:rPr>
          <w:b/>
          <w:bCs/>
        </w:rPr>
      </w:pPr>
      <w:r>
        <w:rPr>
          <w:b/>
          <w:bCs/>
        </w:rPr>
        <w:t>Motivational Examples Following Rotationplasty</w:t>
      </w:r>
    </w:p>
    <w:p w14:paraId="22DAD824" w14:textId="77777777" w:rsidR="00350350" w:rsidRDefault="00583A05">
      <w:pPr>
        <w:pStyle w:val="BodyText"/>
        <w:spacing w:after="283"/>
      </w:pPr>
      <w:r>
        <w:tab/>
        <w:t>At the age of 15, a young girl chose rotationplasty to continue pursuing her passion for gymnastics.</w:t>
      </w:r>
    </w:p>
    <w:p w14:paraId="40A2AFE0" w14:textId="77777777" w:rsidR="00350350" w:rsidRDefault="00583A05">
      <w:pPr>
        <w:pStyle w:val="BodyText"/>
        <w:spacing w:after="283"/>
      </w:pPr>
      <w:r>
        <w:tab/>
        <w:t>After undergoing rotationplasty at the Children's Hospital of Philadelphia, a seven-year-old boy successfully returned to the football field, regaining full mobility without any movement restrictions.</w:t>
      </w:r>
    </w:p>
    <w:p w14:paraId="3C41F333" w14:textId="77777777" w:rsidR="00350350" w:rsidRDefault="00583A05">
      <w:pPr>
        <w:pStyle w:val="BodyText"/>
        <w:spacing w:after="283"/>
      </w:pPr>
      <w:r>
        <w:tab/>
        <w:t>For a girl named E. Robinson, physiotherapy became her saving grace following rotationplasty, helping her regain confidence in leading a normal childhood.</w:t>
      </w:r>
    </w:p>
    <w:p w14:paraId="491BC8AA" w14:textId="77777777" w:rsidR="00350350" w:rsidRDefault="00583A05">
      <w:pPr>
        <w:pStyle w:val="BodyText"/>
        <w:spacing w:after="283"/>
      </w:pPr>
      <w:r>
        <w:tab/>
        <w:t>After completing his rehabilitation, a father now supports children preparing for rotationplasty, guiding them through the specific aspects of the procedure and sharing his experience.</w:t>
      </w:r>
    </w:p>
    <w:p w14:paraId="49EDF321" w14:textId="77777777" w:rsidR="00350350" w:rsidRDefault="00350350">
      <w:pPr>
        <w:spacing w:line="360" w:lineRule="auto"/>
        <w:ind w:firstLine="284"/>
        <w:jc w:val="both"/>
        <w:rPr>
          <w:b/>
          <w:bCs/>
          <w:i/>
          <w:iCs/>
          <w:sz w:val="24"/>
          <w:szCs w:val="24"/>
        </w:rPr>
      </w:pPr>
    </w:p>
    <w:p w14:paraId="48951CDE" w14:textId="77777777" w:rsidR="00350350" w:rsidRDefault="00583A05">
      <w:pPr>
        <w:pStyle w:val="BodyText"/>
        <w:spacing w:after="283"/>
        <w:rPr>
          <w:b/>
          <w:bCs/>
        </w:rPr>
      </w:pPr>
      <w:commentRangeStart w:id="3"/>
      <w:r>
        <w:rPr>
          <w:b/>
          <w:bCs/>
        </w:rPr>
        <w:t>Conclusions</w:t>
      </w:r>
      <w:commentRangeEnd w:id="3"/>
      <w:r w:rsidR="00C72607">
        <w:rPr>
          <w:rStyle w:val="CommentReference"/>
          <w:lang w:val="de-DE" w:eastAsia="en-US"/>
        </w:rPr>
        <w:commentReference w:id="3"/>
      </w:r>
    </w:p>
    <w:p w14:paraId="1B814F5C" w14:textId="77777777" w:rsidR="00350350" w:rsidRDefault="00583A05">
      <w:pPr>
        <w:pStyle w:val="BodyText"/>
        <w:spacing w:after="283"/>
      </w:pPr>
      <w:r>
        <w:tab/>
        <w:t>Osteosarcoma and proximal focal femoral deficiency are conditions for which rotationplasty is among the most effective treatment alternatives, particularly in paediatric patients.</w:t>
      </w:r>
    </w:p>
    <w:p w14:paraId="4ACE46AD" w14:textId="77777777" w:rsidR="00350350" w:rsidRDefault="00583A05">
      <w:pPr>
        <w:pStyle w:val="BodyText"/>
        <w:spacing w:after="283"/>
      </w:pPr>
      <w:r>
        <w:tab/>
        <w:t>Despite its non-anatomical appearance, rotationplasty is often chosen by patients, primarily due to the prospect of leading a physically and psychologically normal life.</w:t>
      </w:r>
    </w:p>
    <w:p w14:paraId="667A34E9" w14:textId="77777777" w:rsidR="00350350" w:rsidRDefault="00583A05">
      <w:pPr>
        <w:pStyle w:val="BodyText"/>
        <w:spacing w:after="283"/>
      </w:pPr>
      <w:r>
        <w:tab/>
        <w:t>Rotationplasty provides enhanced joint mobility in the affected lower limb.</w:t>
      </w:r>
    </w:p>
    <w:p w14:paraId="794CB538" w14:textId="77777777" w:rsidR="00350350" w:rsidRDefault="00583A05">
      <w:pPr>
        <w:pStyle w:val="BodyText"/>
        <w:spacing w:after="283"/>
      </w:pPr>
      <w:r>
        <w:tab/>
        <w:t>In most developed countries, the procedure is well-researched and widely practised, offering a viable alternative to above-knee amputation.</w:t>
      </w:r>
    </w:p>
    <w:p w14:paraId="0ED118BD" w14:textId="77777777" w:rsidR="00350350" w:rsidRDefault="00583A05">
      <w:pPr>
        <w:pStyle w:val="BodyText"/>
        <w:spacing w:after="283"/>
      </w:pPr>
      <w:r>
        <w:tab/>
        <w:t>The role of physiotherapy has been demonstrated to be essential in facilitating patients’ reintegration into society following surgery.</w:t>
      </w:r>
    </w:p>
    <w:p w14:paraId="06AEB3A6" w14:textId="77777777" w:rsidR="00350350" w:rsidRDefault="00583A05">
      <w:pPr>
        <w:pStyle w:val="BodyText"/>
        <w:spacing w:after="283"/>
      </w:pPr>
      <w:r>
        <w:tab/>
        <w:t>Techniques such as cupping and instrument-assisted soft tissue mobilisation (IASTM) aid in reducing scar adhesions, while physiotherapy enables patients to develop new movement patterns for the operated limb.</w:t>
      </w:r>
    </w:p>
    <w:p w14:paraId="772EA87D" w14:textId="77777777" w:rsidR="00350350" w:rsidRDefault="00583A05">
      <w:pPr>
        <w:pStyle w:val="BodyText"/>
        <w:spacing w:after="283"/>
      </w:pPr>
      <w:r>
        <w:tab/>
        <w:t>Following rotationplasty, an appropriate rehabilitation programme significantly improves patients’ quality of life, allowing them to perform activities of daily living (ADLs) without limitations and successfully engage in various sports activities.</w:t>
      </w:r>
    </w:p>
    <w:p w14:paraId="7DABF7CB" w14:textId="77777777" w:rsidR="00C50E4D" w:rsidRPr="003A29C6" w:rsidRDefault="00C50E4D" w:rsidP="00C50E4D">
      <w:pPr>
        <w:jc w:val="both"/>
        <w:outlineLvl w:val="0"/>
        <w:rPr>
          <w:rFonts w:ascii="Arial" w:hAnsi="Arial" w:cs="Arial"/>
        </w:rPr>
      </w:pPr>
      <w:r w:rsidRPr="003A29C6">
        <w:rPr>
          <w:rFonts w:ascii="Arial" w:hAnsi="Arial" w:cs="Arial"/>
          <w:b/>
          <w:bCs/>
        </w:rPr>
        <w:t>COMPETING INTERESTS DISCLAIMER:</w:t>
      </w:r>
    </w:p>
    <w:p w14:paraId="494E15B7" w14:textId="77777777" w:rsidR="00C50E4D" w:rsidRDefault="00C50E4D" w:rsidP="00C50E4D">
      <w:r w:rsidRPr="00A10EDE">
        <w:t>Authors have declared that they have no known competing financial interests OR non-financial interests OR personal relationships that could have appeared to influence the work reported in this paper.</w:t>
      </w:r>
    </w:p>
    <w:p w14:paraId="7966E160" w14:textId="77777777" w:rsidR="00C50E4D" w:rsidRDefault="00C50E4D">
      <w:pPr>
        <w:pStyle w:val="BodyText"/>
        <w:spacing w:after="283"/>
      </w:pPr>
    </w:p>
    <w:p w14:paraId="5402C4A9" w14:textId="77777777" w:rsidR="00350350" w:rsidRDefault="00350350">
      <w:pPr>
        <w:spacing w:line="360" w:lineRule="auto"/>
        <w:ind w:firstLine="274"/>
        <w:jc w:val="both"/>
        <w:rPr>
          <w:sz w:val="24"/>
          <w:szCs w:val="24"/>
        </w:rPr>
      </w:pPr>
    </w:p>
    <w:p w14:paraId="093F6DFA" w14:textId="77777777" w:rsidR="00350350" w:rsidRDefault="00583A05">
      <w:pPr>
        <w:spacing w:line="360" w:lineRule="auto"/>
        <w:jc w:val="both"/>
        <w:rPr>
          <w:b/>
          <w:bCs/>
          <w:sz w:val="24"/>
          <w:szCs w:val="24"/>
        </w:rPr>
      </w:pPr>
      <w:commentRangeStart w:id="4"/>
      <w:r>
        <w:rPr>
          <w:b/>
          <w:bCs/>
          <w:sz w:val="24"/>
          <w:szCs w:val="24"/>
        </w:rPr>
        <w:t>References</w:t>
      </w:r>
      <w:commentRangeEnd w:id="4"/>
      <w:r w:rsidR="00C72607">
        <w:rPr>
          <w:rStyle w:val="CommentReference"/>
        </w:rPr>
        <w:commentReference w:id="4"/>
      </w:r>
    </w:p>
    <w:p w14:paraId="616AB67B" w14:textId="77777777" w:rsidR="00350350" w:rsidRDefault="00583A05">
      <w:pPr>
        <w:spacing w:line="360" w:lineRule="auto"/>
        <w:ind w:firstLine="540"/>
        <w:jc w:val="both"/>
        <w:rPr>
          <w:sz w:val="24"/>
          <w:szCs w:val="24"/>
          <w:lang w:val="ro-RO"/>
        </w:rPr>
      </w:pPr>
      <w:r>
        <w:rPr>
          <w:sz w:val="24"/>
          <w:szCs w:val="24"/>
        </w:rPr>
        <w:t xml:space="preserve">Abbasi, A., Hosein, R., Willis Jr, R., Lelkes, V., Jones, K., Agarwal, J. (2021). Modified Rotationplasty as a Composite Free Flap for Femur and Thigh Reconstrunction. </w:t>
      </w:r>
      <w:r>
        <w:rPr>
          <w:i/>
          <w:iCs/>
          <w:sz w:val="24"/>
          <w:szCs w:val="24"/>
        </w:rPr>
        <w:t>World Journal of Plastic Surgery</w:t>
      </w:r>
      <w:r>
        <w:rPr>
          <w:sz w:val="24"/>
          <w:szCs w:val="24"/>
        </w:rPr>
        <w:t>. 10(2). 115-119.</w:t>
      </w:r>
    </w:p>
    <w:p w14:paraId="55E78265" w14:textId="77777777" w:rsidR="00350350" w:rsidRDefault="00583A05">
      <w:pPr>
        <w:spacing w:line="360" w:lineRule="auto"/>
        <w:ind w:firstLine="540"/>
        <w:jc w:val="both"/>
        <w:rPr>
          <w:sz w:val="24"/>
          <w:szCs w:val="24"/>
        </w:rPr>
      </w:pPr>
      <w:r>
        <w:rPr>
          <w:sz w:val="24"/>
          <w:szCs w:val="24"/>
          <w:lang w:val="ro-RO"/>
        </w:rPr>
        <w:t>Anjum, H., Amjad, I., Malik, A. N. (</w:t>
      </w:r>
      <w:r>
        <w:rPr>
          <w:sz w:val="24"/>
          <w:szCs w:val="24"/>
        </w:rPr>
        <w:t>2016)</w:t>
      </w:r>
      <w:r>
        <w:rPr>
          <w:sz w:val="24"/>
          <w:szCs w:val="24"/>
          <w:lang w:val="ro-RO"/>
        </w:rPr>
        <w:t>.</w:t>
      </w:r>
      <w:r>
        <w:rPr>
          <w:sz w:val="24"/>
          <w:szCs w:val="24"/>
        </w:rPr>
        <w:t xml:space="preserve"> Effectiveness of Proprioceptive Neuromuscular Facilitation Techniques as Compared to Traditional Strength Training in Gait Training Among Transtibial Amputees, Journal of the College of Physicians and Surgeons Pakistan. </w:t>
      </w:r>
      <w:r>
        <w:rPr>
          <w:i/>
          <w:iCs/>
          <w:sz w:val="24"/>
          <w:szCs w:val="24"/>
        </w:rPr>
        <w:t>Journal of the College of Physicians and Surgeons Pakistan</w:t>
      </w:r>
      <w:r>
        <w:rPr>
          <w:sz w:val="24"/>
          <w:szCs w:val="24"/>
        </w:rPr>
        <w:t>. 26(6). 503-506</w:t>
      </w:r>
    </w:p>
    <w:p w14:paraId="2D82443E" w14:textId="77777777" w:rsidR="00350350" w:rsidRDefault="00583A05">
      <w:pPr>
        <w:spacing w:line="360" w:lineRule="auto"/>
        <w:ind w:firstLine="540"/>
        <w:jc w:val="both"/>
        <w:rPr>
          <w:sz w:val="24"/>
          <w:szCs w:val="24"/>
        </w:rPr>
      </w:pPr>
      <w:r>
        <w:rPr>
          <w:sz w:val="24"/>
          <w:szCs w:val="24"/>
          <w:lang w:val="ro-RO"/>
        </w:rPr>
        <w:t>Benedetti, M. G., Tarricone, I., Monti, M., Campanacci, L., Regazzi, M. G., De Matteis, T., Platano, D., Manfrini, M. (</w:t>
      </w:r>
      <w:r>
        <w:rPr>
          <w:sz w:val="24"/>
          <w:szCs w:val="24"/>
        </w:rPr>
        <w:t xml:space="preserve">2023). Psychological Well-Being, Self-Esteem, Quality of Life and Gender Differences as Determinants of Post-Traumatic Growth in Long-Term Knee Rotationplasty Survivors: A Cohort Study. </w:t>
      </w:r>
      <w:r>
        <w:rPr>
          <w:i/>
          <w:iCs/>
          <w:sz w:val="24"/>
          <w:szCs w:val="24"/>
        </w:rPr>
        <w:t>Children</w:t>
      </w:r>
      <w:r>
        <w:rPr>
          <w:sz w:val="24"/>
          <w:szCs w:val="24"/>
        </w:rPr>
        <w:t>. 10(5). 1-11</w:t>
      </w:r>
    </w:p>
    <w:p w14:paraId="7980D969" w14:textId="77777777" w:rsidR="00350350" w:rsidRDefault="00583A05">
      <w:pPr>
        <w:spacing w:line="360" w:lineRule="auto"/>
        <w:ind w:firstLine="540"/>
        <w:jc w:val="both"/>
        <w:rPr>
          <w:sz w:val="24"/>
          <w:szCs w:val="24"/>
        </w:rPr>
      </w:pPr>
      <w:r>
        <w:rPr>
          <w:sz w:val="24"/>
          <w:szCs w:val="24"/>
        </w:rPr>
        <w:t xml:space="preserve">Bernthal, N. M., Monument, M. J., Randall, R. L., Jones, K. B. (2014). </w:t>
      </w:r>
      <w:r>
        <w:rPr>
          <w:i/>
          <w:iCs/>
          <w:sz w:val="24"/>
          <w:szCs w:val="24"/>
        </w:rPr>
        <w:t>Rotationplasty: Beauty is in the Eye of the Beholder</w:t>
      </w:r>
      <w:r>
        <w:rPr>
          <w:sz w:val="24"/>
          <w:szCs w:val="24"/>
        </w:rPr>
        <w:t xml:space="preserve">. Oper Tech Orthop. </w:t>
      </w:r>
    </w:p>
    <w:p w14:paraId="5F2177A5" w14:textId="77777777" w:rsidR="00350350" w:rsidRDefault="00583A05">
      <w:pPr>
        <w:spacing w:line="360" w:lineRule="auto"/>
        <w:ind w:firstLine="540"/>
        <w:jc w:val="both"/>
        <w:rPr>
          <w:sz w:val="24"/>
          <w:szCs w:val="24"/>
          <w:lang w:val="ro-RO"/>
        </w:rPr>
      </w:pPr>
      <w:r>
        <w:rPr>
          <w:sz w:val="24"/>
          <w:szCs w:val="24"/>
        </w:rPr>
        <w:t xml:space="preserve">Buzescu A., </w:t>
      </w:r>
      <w:r>
        <w:rPr>
          <w:i/>
          <w:iCs/>
          <w:sz w:val="24"/>
          <w:szCs w:val="24"/>
        </w:rPr>
        <w:t>Anatomia și Biomecanica Principalelor Articula</w:t>
      </w:r>
      <w:r>
        <w:rPr>
          <w:i/>
          <w:iCs/>
          <w:sz w:val="24"/>
          <w:szCs w:val="24"/>
          <w:lang w:val="ro-RO"/>
        </w:rPr>
        <w:t>ții ale Corpului Uman</w:t>
      </w:r>
      <w:r>
        <w:rPr>
          <w:sz w:val="24"/>
          <w:szCs w:val="24"/>
          <w:lang w:val="ro-RO"/>
        </w:rPr>
        <w:t xml:space="preserve">, suport de curs </w:t>
      </w:r>
    </w:p>
    <w:p w14:paraId="21F7E15D" w14:textId="77777777" w:rsidR="00350350" w:rsidRDefault="00583A05">
      <w:pPr>
        <w:spacing w:line="360" w:lineRule="auto"/>
        <w:ind w:firstLine="540"/>
        <w:jc w:val="both"/>
        <w:rPr>
          <w:sz w:val="24"/>
          <w:szCs w:val="24"/>
          <w:lang w:val="ro-RO"/>
        </w:rPr>
      </w:pPr>
      <w:r>
        <w:rPr>
          <w:sz w:val="24"/>
          <w:szCs w:val="24"/>
          <w:lang w:val="ro-RO"/>
        </w:rPr>
        <w:t xml:space="preserve">Campbell, S., Orlin, M., Palisano, R. (2014). </w:t>
      </w:r>
      <w:r>
        <w:rPr>
          <w:i/>
          <w:iCs/>
          <w:sz w:val="24"/>
          <w:szCs w:val="24"/>
          <w:lang w:val="ro-RO"/>
        </w:rPr>
        <w:t>Physical therapy for children</w:t>
      </w:r>
      <w:r>
        <w:rPr>
          <w:sz w:val="24"/>
          <w:szCs w:val="24"/>
          <w:lang w:val="ro-RO"/>
        </w:rPr>
        <w:t xml:space="preserve">, Elsevier. </w:t>
      </w:r>
    </w:p>
    <w:p w14:paraId="3D8D8041" w14:textId="77777777" w:rsidR="00350350" w:rsidRDefault="00583A05">
      <w:pPr>
        <w:spacing w:line="360" w:lineRule="auto"/>
        <w:ind w:firstLine="540"/>
        <w:jc w:val="both"/>
        <w:rPr>
          <w:sz w:val="24"/>
          <w:szCs w:val="24"/>
        </w:rPr>
      </w:pPr>
      <w:r>
        <w:rPr>
          <w:sz w:val="24"/>
          <w:szCs w:val="24"/>
        </w:rPr>
        <w:t xml:space="preserve">Cañadell, J., San-Julian, M. (2009) </w:t>
      </w:r>
      <w:r>
        <w:rPr>
          <w:i/>
          <w:iCs/>
          <w:sz w:val="24"/>
          <w:szCs w:val="24"/>
        </w:rPr>
        <w:t>Pediatric Bone Sarcomas Epiphysiolysis Before Excision</w:t>
      </w:r>
      <w:r>
        <w:rPr>
          <w:sz w:val="24"/>
          <w:szCs w:val="24"/>
        </w:rPr>
        <w:t xml:space="preserve">. Springer. </w:t>
      </w:r>
    </w:p>
    <w:p w14:paraId="787E24C9" w14:textId="77777777" w:rsidR="00350350" w:rsidRDefault="00583A05">
      <w:pPr>
        <w:spacing w:line="360" w:lineRule="auto"/>
        <w:ind w:firstLine="540"/>
        <w:jc w:val="both"/>
        <w:rPr>
          <w:sz w:val="24"/>
          <w:szCs w:val="24"/>
        </w:rPr>
      </w:pPr>
      <w:r>
        <w:rPr>
          <w:sz w:val="24"/>
          <w:szCs w:val="24"/>
          <w:lang w:val="ro-RO"/>
        </w:rPr>
        <w:t>Chan, C. M., Lindsay, A. D., Spiguel, A. R. V., Gibbs, C. P., Scarborough, M. T.</w:t>
      </w:r>
      <w:r>
        <w:rPr>
          <w:sz w:val="24"/>
          <w:szCs w:val="24"/>
        </w:rPr>
        <w:t xml:space="preserve"> (2022)</w:t>
      </w:r>
      <w:r>
        <w:rPr>
          <w:sz w:val="24"/>
          <w:szCs w:val="24"/>
          <w:lang w:val="ro-RO"/>
        </w:rPr>
        <w:t xml:space="preserve">. </w:t>
      </w:r>
      <w:r>
        <w:rPr>
          <w:sz w:val="24"/>
          <w:szCs w:val="24"/>
        </w:rPr>
        <w:t xml:space="preserve">Why Rotationplasty? A Qualitative Study of Decision-Mariking by Families of Patients With Primary Bone Sarcoma. </w:t>
      </w:r>
      <w:r>
        <w:rPr>
          <w:i/>
          <w:iCs/>
          <w:sz w:val="24"/>
          <w:szCs w:val="24"/>
        </w:rPr>
        <w:t>Journal of Patient Experience</w:t>
      </w:r>
      <w:r>
        <w:rPr>
          <w:sz w:val="24"/>
          <w:szCs w:val="24"/>
        </w:rPr>
        <w:t>. 9. 1-7</w:t>
      </w:r>
    </w:p>
    <w:p w14:paraId="1A5637CC" w14:textId="77777777" w:rsidR="00350350" w:rsidRDefault="00583A05">
      <w:pPr>
        <w:spacing w:line="360" w:lineRule="auto"/>
        <w:ind w:firstLine="540"/>
        <w:jc w:val="both"/>
        <w:rPr>
          <w:sz w:val="24"/>
          <w:szCs w:val="24"/>
        </w:rPr>
      </w:pPr>
      <w:r>
        <w:rPr>
          <w:sz w:val="24"/>
          <w:szCs w:val="24"/>
          <w:lang w:val="ro-RO"/>
        </w:rPr>
        <w:t xml:space="preserve">Cordun, M. (1999). </w:t>
      </w:r>
      <w:r>
        <w:rPr>
          <w:i/>
          <w:iCs/>
          <w:sz w:val="24"/>
          <w:szCs w:val="24"/>
          <w:lang w:val="ro-RO"/>
        </w:rPr>
        <w:t>Kinetologie medicală</w:t>
      </w:r>
      <w:r>
        <w:rPr>
          <w:sz w:val="24"/>
          <w:szCs w:val="24"/>
          <w:lang w:val="ro-RO"/>
        </w:rPr>
        <w:t xml:space="preserve">. AXA. </w:t>
      </w:r>
    </w:p>
    <w:p w14:paraId="78A73B7D" w14:textId="77777777" w:rsidR="00350350" w:rsidRDefault="00583A05">
      <w:pPr>
        <w:spacing w:line="360" w:lineRule="auto"/>
        <w:ind w:firstLine="540"/>
        <w:jc w:val="both"/>
        <w:rPr>
          <w:sz w:val="24"/>
          <w:szCs w:val="24"/>
          <w:lang w:val="ro-RO"/>
        </w:rPr>
      </w:pPr>
      <w:r>
        <w:rPr>
          <w:sz w:val="24"/>
          <w:szCs w:val="24"/>
        </w:rPr>
        <w:t xml:space="preserve">Cosnarovici, R. V., Cernea, D. M., Coliță, A., Dragomir, M. D. (2021). </w:t>
      </w:r>
      <w:r>
        <w:rPr>
          <w:i/>
          <w:iCs/>
          <w:sz w:val="24"/>
          <w:szCs w:val="24"/>
        </w:rPr>
        <w:t>Ghid De Diagnostic, Tratament și Monitorizare a Cancerelor la Copii și Adolescenți în România</w:t>
      </w:r>
      <w:r>
        <w:rPr>
          <w:sz w:val="24"/>
          <w:szCs w:val="24"/>
        </w:rPr>
        <w:t xml:space="preserve">. </w:t>
      </w:r>
    </w:p>
    <w:p w14:paraId="42A214F5" w14:textId="77777777" w:rsidR="00350350" w:rsidRDefault="00583A05">
      <w:pPr>
        <w:spacing w:line="360" w:lineRule="auto"/>
        <w:ind w:firstLine="540"/>
        <w:jc w:val="both"/>
        <w:rPr>
          <w:sz w:val="24"/>
          <w:szCs w:val="24"/>
          <w:lang w:val="ro-RO"/>
        </w:rPr>
      </w:pPr>
      <w:r>
        <w:rPr>
          <w:sz w:val="24"/>
          <w:szCs w:val="24"/>
        </w:rPr>
        <w:t xml:space="preserve">d’Hooghe, P., Kerkhoffs, G. (2014). </w:t>
      </w:r>
      <w:r>
        <w:rPr>
          <w:i/>
          <w:iCs/>
          <w:sz w:val="24"/>
          <w:szCs w:val="24"/>
        </w:rPr>
        <w:t>The Ankle in Football</w:t>
      </w:r>
      <w:r>
        <w:rPr>
          <w:sz w:val="24"/>
          <w:szCs w:val="24"/>
        </w:rPr>
        <w:t xml:space="preserve">. Springer. </w:t>
      </w:r>
    </w:p>
    <w:p w14:paraId="5F0AE03B" w14:textId="77777777" w:rsidR="00350350" w:rsidRDefault="00583A05">
      <w:pPr>
        <w:spacing w:line="360" w:lineRule="auto"/>
        <w:ind w:firstLine="540"/>
        <w:jc w:val="both"/>
        <w:rPr>
          <w:sz w:val="24"/>
          <w:szCs w:val="24"/>
        </w:rPr>
      </w:pPr>
      <w:r>
        <w:rPr>
          <w:sz w:val="24"/>
          <w:szCs w:val="24"/>
          <w:lang w:val="ro-RO"/>
        </w:rPr>
        <w:t>Fuchs, B., Kotajarvi, B., Kaufman, K., Sim, F.</w:t>
      </w:r>
      <w:r>
        <w:rPr>
          <w:sz w:val="24"/>
          <w:szCs w:val="24"/>
        </w:rPr>
        <w:t xml:space="preserve"> (2003). Functional Outcome of Patients With Rotationplasty About the Knee. </w:t>
      </w:r>
      <w:r>
        <w:rPr>
          <w:i/>
          <w:iCs/>
          <w:sz w:val="24"/>
          <w:szCs w:val="24"/>
        </w:rPr>
        <w:t>Clinical Orthopaedics and Related Research</w:t>
      </w:r>
      <w:r>
        <w:rPr>
          <w:sz w:val="24"/>
          <w:szCs w:val="24"/>
        </w:rPr>
        <w:t xml:space="preserve">. 415(). 52-58. </w:t>
      </w:r>
    </w:p>
    <w:p w14:paraId="3F49207C" w14:textId="77777777" w:rsidR="00350350" w:rsidRDefault="00583A05">
      <w:pPr>
        <w:spacing w:line="360" w:lineRule="auto"/>
        <w:ind w:firstLine="540"/>
        <w:jc w:val="both"/>
        <w:rPr>
          <w:sz w:val="24"/>
          <w:szCs w:val="24"/>
        </w:rPr>
      </w:pPr>
      <w:r>
        <w:rPr>
          <w:sz w:val="24"/>
          <w:szCs w:val="24"/>
          <w:lang w:val="ro-RO"/>
        </w:rPr>
        <w:t>Hillmann, A., Rosebaum, D., Winkelmann, W., (</w:t>
      </w:r>
      <w:r>
        <w:rPr>
          <w:sz w:val="24"/>
          <w:szCs w:val="24"/>
        </w:rPr>
        <w:t xml:space="preserve">2000). Plantar and dorsal foot loading measurements in patients after rotationplasty. </w:t>
      </w:r>
      <w:r>
        <w:rPr>
          <w:i/>
          <w:iCs/>
          <w:sz w:val="24"/>
          <w:szCs w:val="24"/>
        </w:rPr>
        <w:t>Elsevier</w:t>
      </w:r>
      <w:r>
        <w:rPr>
          <w:sz w:val="24"/>
          <w:szCs w:val="24"/>
        </w:rPr>
        <w:t>. 15(5). 359-364</w:t>
      </w:r>
    </w:p>
    <w:p w14:paraId="737001D8" w14:textId="77777777" w:rsidR="00350350" w:rsidRDefault="00583A05">
      <w:pPr>
        <w:spacing w:line="360" w:lineRule="auto"/>
        <w:ind w:firstLine="540"/>
        <w:jc w:val="both"/>
        <w:rPr>
          <w:sz w:val="24"/>
          <w:szCs w:val="24"/>
          <w:lang w:val="ro-RO"/>
        </w:rPr>
      </w:pPr>
      <w:r>
        <w:rPr>
          <w:sz w:val="24"/>
          <w:szCs w:val="24"/>
        </w:rPr>
        <w:lastRenderedPageBreak/>
        <w:t>J. F. Abulhasan, M. J. Grey, Anatomy and Physiology of Knee Stability, 2017</w:t>
      </w:r>
    </w:p>
    <w:p w14:paraId="2B03C2A4" w14:textId="77777777" w:rsidR="00350350" w:rsidRDefault="00583A05">
      <w:pPr>
        <w:spacing w:line="360" w:lineRule="auto"/>
        <w:ind w:firstLine="540"/>
        <w:jc w:val="both"/>
        <w:rPr>
          <w:sz w:val="24"/>
          <w:szCs w:val="24"/>
          <w:lang w:val="ro-RO"/>
        </w:rPr>
      </w:pPr>
      <w:r>
        <w:rPr>
          <w:sz w:val="24"/>
          <w:szCs w:val="24"/>
        </w:rPr>
        <w:t xml:space="preserve">James, A., Solove, R. (2022). Physical Therapy After Your Rotationplasty. </w:t>
      </w:r>
      <w:r>
        <w:rPr>
          <w:i/>
          <w:iCs/>
          <w:sz w:val="24"/>
          <w:szCs w:val="24"/>
        </w:rPr>
        <w:t>The Ohio State University</w:t>
      </w:r>
      <w:r>
        <w:rPr>
          <w:sz w:val="24"/>
          <w:szCs w:val="24"/>
        </w:rPr>
        <w:t xml:space="preserve"> </w:t>
      </w:r>
    </w:p>
    <w:p w14:paraId="4A4EDB21" w14:textId="77777777" w:rsidR="00350350" w:rsidRDefault="00583A05">
      <w:pPr>
        <w:spacing w:line="360" w:lineRule="auto"/>
        <w:ind w:firstLine="540"/>
        <w:jc w:val="both"/>
        <w:rPr>
          <w:sz w:val="24"/>
          <w:szCs w:val="24"/>
        </w:rPr>
      </w:pPr>
      <w:r>
        <w:rPr>
          <w:sz w:val="24"/>
          <w:szCs w:val="24"/>
        </w:rPr>
        <w:t xml:space="preserve">Kapandji, A. I. (2011). </w:t>
      </w:r>
      <w:r>
        <w:rPr>
          <w:i/>
          <w:iCs/>
          <w:sz w:val="24"/>
          <w:szCs w:val="24"/>
        </w:rPr>
        <w:t>The Physiology of the Joints</w:t>
      </w:r>
      <w:r>
        <w:rPr>
          <w:sz w:val="24"/>
          <w:szCs w:val="24"/>
        </w:rPr>
        <w:t xml:space="preserve">. Volume 2 The Lower Limb. Elsevier. </w:t>
      </w:r>
    </w:p>
    <w:p w14:paraId="4E395AC0" w14:textId="77777777" w:rsidR="00350350" w:rsidRDefault="00583A05">
      <w:pPr>
        <w:spacing w:line="360" w:lineRule="auto"/>
        <w:ind w:firstLine="540"/>
        <w:jc w:val="both"/>
        <w:rPr>
          <w:sz w:val="24"/>
          <w:szCs w:val="24"/>
          <w:lang w:val="ro-RO"/>
        </w:rPr>
      </w:pPr>
      <w:r>
        <w:rPr>
          <w:sz w:val="24"/>
          <w:szCs w:val="24"/>
          <w:lang w:val="ro-RO"/>
        </w:rPr>
        <w:t xml:space="preserve">Kicsi, C. (2023). </w:t>
      </w:r>
      <w:r>
        <w:rPr>
          <w:i/>
          <w:iCs/>
          <w:sz w:val="24"/>
          <w:szCs w:val="24"/>
          <w:lang w:val="ro-RO"/>
        </w:rPr>
        <w:t>Măsurare și evaluare în kinetoterapie</w:t>
      </w:r>
      <w:r>
        <w:rPr>
          <w:sz w:val="24"/>
          <w:szCs w:val="24"/>
          <w:lang w:val="ro-RO"/>
        </w:rPr>
        <w:t xml:space="preserve">. Editura Universității Transivania din Brașov. </w:t>
      </w:r>
    </w:p>
    <w:p w14:paraId="095B68D2" w14:textId="77777777" w:rsidR="00350350" w:rsidRDefault="00583A05">
      <w:pPr>
        <w:spacing w:line="360" w:lineRule="auto"/>
        <w:ind w:firstLine="540"/>
        <w:jc w:val="both"/>
        <w:rPr>
          <w:sz w:val="24"/>
          <w:szCs w:val="24"/>
          <w:lang w:val="ro-RO"/>
        </w:rPr>
      </w:pPr>
      <w:r>
        <w:rPr>
          <w:sz w:val="24"/>
          <w:szCs w:val="24"/>
        </w:rPr>
        <w:t xml:space="preserve">Kowalczyk, K., Jarząb, S. (2021). </w:t>
      </w:r>
      <w:r>
        <w:rPr>
          <w:i/>
          <w:iCs/>
          <w:sz w:val="24"/>
          <w:szCs w:val="24"/>
        </w:rPr>
        <w:t>Physiotherapy treatment for rotaionplasty</w:t>
      </w:r>
      <w:r>
        <w:rPr>
          <w:sz w:val="24"/>
          <w:szCs w:val="24"/>
        </w:rPr>
        <w:t xml:space="preserve">. Aesth Cosmetol Med. </w:t>
      </w:r>
    </w:p>
    <w:p w14:paraId="12D0F770" w14:textId="77777777" w:rsidR="00350350" w:rsidRDefault="00583A05">
      <w:pPr>
        <w:spacing w:line="360" w:lineRule="auto"/>
        <w:ind w:firstLine="540"/>
        <w:jc w:val="both"/>
        <w:rPr>
          <w:sz w:val="24"/>
          <w:szCs w:val="24"/>
          <w:lang w:val="ro-RO"/>
        </w:rPr>
      </w:pPr>
      <w:r>
        <w:rPr>
          <w:sz w:val="24"/>
          <w:szCs w:val="24"/>
        </w:rPr>
        <w:t xml:space="preserve">Krajbich, J. I., Pinzur, M., Potter, B., Stevens, P., (2016) </w:t>
      </w:r>
      <w:r>
        <w:rPr>
          <w:i/>
          <w:iCs/>
          <w:sz w:val="24"/>
          <w:szCs w:val="24"/>
        </w:rPr>
        <w:t>Atlas of Amputations and Limb Deficiencies</w:t>
      </w:r>
      <w:r>
        <w:rPr>
          <w:sz w:val="24"/>
          <w:szCs w:val="24"/>
        </w:rPr>
        <w:t xml:space="preserve">. American Academy of Orthopaedic Surgeons. </w:t>
      </w:r>
    </w:p>
    <w:p w14:paraId="75B15189" w14:textId="77777777" w:rsidR="00350350" w:rsidRDefault="00583A05">
      <w:pPr>
        <w:spacing w:line="360" w:lineRule="auto"/>
        <w:ind w:firstLine="540"/>
        <w:jc w:val="both"/>
        <w:rPr>
          <w:sz w:val="24"/>
          <w:szCs w:val="24"/>
          <w:lang w:val="ro-RO"/>
        </w:rPr>
      </w:pPr>
      <w:r>
        <w:rPr>
          <w:sz w:val="24"/>
          <w:szCs w:val="24"/>
        </w:rPr>
        <w:t xml:space="preserve">Lin, P. P., Patel, S. (2013). </w:t>
      </w:r>
      <w:r>
        <w:rPr>
          <w:i/>
          <w:iCs/>
          <w:sz w:val="24"/>
          <w:szCs w:val="24"/>
        </w:rPr>
        <w:t>Bone Sarcoma</w:t>
      </w:r>
      <w:r>
        <w:rPr>
          <w:sz w:val="24"/>
          <w:szCs w:val="24"/>
        </w:rPr>
        <w:t xml:space="preserve">. Springer. </w:t>
      </w:r>
    </w:p>
    <w:p w14:paraId="2E91EA69" w14:textId="77777777" w:rsidR="00350350" w:rsidRDefault="00583A05">
      <w:pPr>
        <w:spacing w:line="360" w:lineRule="auto"/>
        <w:ind w:firstLine="540"/>
        <w:jc w:val="both"/>
        <w:rPr>
          <w:sz w:val="24"/>
          <w:szCs w:val="24"/>
        </w:rPr>
      </w:pPr>
      <w:r>
        <w:rPr>
          <w:sz w:val="24"/>
          <w:szCs w:val="24"/>
        </w:rPr>
        <w:t xml:space="preserve">Morri, M., Forni, C. (2016). Rotationplasty in adult cancer patients: what is the rehab strategy and what results can be expected? A case study. </w:t>
      </w:r>
      <w:r>
        <w:rPr>
          <w:i/>
          <w:iCs/>
          <w:sz w:val="24"/>
          <w:szCs w:val="24"/>
        </w:rPr>
        <w:t>Prosthetics and Orthotics International</w:t>
      </w:r>
      <w:r>
        <w:rPr>
          <w:sz w:val="24"/>
          <w:szCs w:val="24"/>
        </w:rPr>
        <w:t>. 41(5). 517-521</w:t>
      </w:r>
    </w:p>
    <w:p w14:paraId="2EDA7884" w14:textId="77777777" w:rsidR="00350350" w:rsidRDefault="00583A05">
      <w:pPr>
        <w:spacing w:line="360" w:lineRule="auto"/>
        <w:ind w:firstLine="540"/>
        <w:jc w:val="both"/>
        <w:rPr>
          <w:sz w:val="24"/>
          <w:szCs w:val="24"/>
          <w:lang w:val="ro-RO"/>
        </w:rPr>
      </w:pPr>
      <w:r>
        <w:rPr>
          <w:sz w:val="24"/>
          <w:szCs w:val="24"/>
          <w:lang w:val="ro-RO"/>
        </w:rPr>
        <w:t xml:space="preserve">Morton, C., Mumford, M., Peterson, N., Veronie, A., Kirkvold, H. (2019). Redesigning a rotationplasty prosthetic, </w:t>
      </w:r>
      <w:r>
        <w:rPr>
          <w:i/>
          <w:iCs/>
          <w:sz w:val="24"/>
          <w:szCs w:val="24"/>
          <w:lang w:val="ro-RO"/>
        </w:rPr>
        <w:t>Systems and Information Engineering Design Symposium</w:t>
      </w:r>
      <w:r>
        <w:rPr>
          <w:sz w:val="24"/>
          <w:szCs w:val="24"/>
          <w:lang w:val="ro-RO"/>
        </w:rPr>
        <w:t>. 1-5</w:t>
      </w:r>
    </w:p>
    <w:p w14:paraId="0E4E268A" w14:textId="77777777" w:rsidR="00350350" w:rsidRDefault="00583A05">
      <w:pPr>
        <w:spacing w:line="360" w:lineRule="auto"/>
        <w:ind w:firstLine="540"/>
        <w:jc w:val="both"/>
        <w:rPr>
          <w:sz w:val="24"/>
          <w:szCs w:val="24"/>
        </w:rPr>
      </w:pPr>
      <w:r>
        <w:rPr>
          <w:sz w:val="24"/>
          <w:szCs w:val="24"/>
        </w:rPr>
        <w:t xml:space="preserve">Murray, P., Jacobs, P. A., Gore, D. R., Gardner, G., Mollinger, L. (1985). Functional Performance after Tibial Rotationplasty. </w:t>
      </w:r>
      <w:r>
        <w:rPr>
          <w:i/>
          <w:iCs/>
          <w:sz w:val="24"/>
          <w:szCs w:val="24"/>
        </w:rPr>
        <w:t>The journal of Bone and Jonit Surgery</w:t>
      </w:r>
      <w:r>
        <w:rPr>
          <w:sz w:val="24"/>
          <w:szCs w:val="24"/>
        </w:rPr>
        <w:t>. 67(3). 392-396</w:t>
      </w:r>
    </w:p>
    <w:p w14:paraId="672933A7" w14:textId="77777777" w:rsidR="00350350" w:rsidRDefault="00583A05">
      <w:pPr>
        <w:spacing w:line="360" w:lineRule="auto"/>
        <w:ind w:firstLine="540"/>
        <w:jc w:val="both"/>
        <w:rPr>
          <w:sz w:val="24"/>
          <w:szCs w:val="24"/>
          <w:lang w:val="ro-RO"/>
        </w:rPr>
      </w:pPr>
      <w:r>
        <w:rPr>
          <w:sz w:val="24"/>
          <w:szCs w:val="24"/>
        </w:rPr>
        <w:t xml:space="preserve">Ozger H., Sim Ajay Puri, F., Eralp, L. (2022), </w:t>
      </w:r>
      <w:r>
        <w:rPr>
          <w:i/>
          <w:iCs/>
          <w:sz w:val="24"/>
          <w:szCs w:val="24"/>
        </w:rPr>
        <w:t>Orthopedic Surgical Oncology for Bone Tumors</w:t>
      </w:r>
      <w:r>
        <w:rPr>
          <w:sz w:val="24"/>
          <w:szCs w:val="24"/>
        </w:rPr>
        <w:t xml:space="preserve">, Springer </w:t>
      </w:r>
    </w:p>
    <w:p w14:paraId="32AF7E5C" w14:textId="77777777" w:rsidR="00350350" w:rsidRDefault="00583A05">
      <w:pPr>
        <w:spacing w:line="360" w:lineRule="auto"/>
        <w:ind w:firstLine="540"/>
        <w:jc w:val="both"/>
        <w:rPr>
          <w:sz w:val="24"/>
          <w:szCs w:val="24"/>
          <w:lang w:val="ro-RO"/>
        </w:rPr>
      </w:pPr>
      <w:r>
        <w:rPr>
          <w:sz w:val="24"/>
          <w:szCs w:val="24"/>
          <w:lang w:val="ro-RO"/>
        </w:rPr>
        <w:t xml:space="preserve">Papilian, V. (2003). </w:t>
      </w:r>
      <w:r>
        <w:rPr>
          <w:i/>
          <w:iCs/>
          <w:sz w:val="24"/>
          <w:szCs w:val="24"/>
          <w:lang w:val="ro-RO"/>
        </w:rPr>
        <w:t>Anatomia omului</w:t>
      </w:r>
      <w:r>
        <w:rPr>
          <w:sz w:val="24"/>
          <w:szCs w:val="24"/>
          <w:lang w:val="ro-RO"/>
        </w:rPr>
        <w:t xml:space="preserve">. BIC ALL. </w:t>
      </w:r>
    </w:p>
    <w:p w14:paraId="118F7075" w14:textId="77777777" w:rsidR="00350350" w:rsidRDefault="00583A05">
      <w:pPr>
        <w:spacing w:line="360" w:lineRule="auto"/>
        <w:ind w:firstLine="540"/>
        <w:jc w:val="both"/>
        <w:rPr>
          <w:sz w:val="24"/>
          <w:szCs w:val="24"/>
          <w:lang w:val="ro-RO"/>
        </w:rPr>
      </w:pPr>
      <w:r>
        <w:rPr>
          <w:sz w:val="24"/>
          <w:szCs w:val="24"/>
        </w:rPr>
        <w:t xml:space="preserve">Winkelmann, W. (1996). </w:t>
      </w:r>
      <w:r>
        <w:rPr>
          <w:i/>
          <w:iCs/>
          <w:sz w:val="24"/>
          <w:szCs w:val="24"/>
        </w:rPr>
        <w:t>Pediatric orthopedic oncology</w:t>
      </w:r>
      <w:r>
        <w:rPr>
          <w:sz w:val="24"/>
          <w:szCs w:val="24"/>
        </w:rPr>
        <w:t xml:space="preserve">. Orthopedic Clinic of North America. </w:t>
      </w:r>
    </w:p>
    <w:p w14:paraId="46D9F499" w14:textId="77777777" w:rsidR="00350350" w:rsidRDefault="00583A05">
      <w:pPr>
        <w:spacing w:line="360" w:lineRule="auto"/>
        <w:ind w:firstLine="540"/>
        <w:jc w:val="both"/>
        <w:rPr>
          <w:sz w:val="24"/>
          <w:szCs w:val="24"/>
          <w:lang w:val="ro-RO"/>
        </w:rPr>
      </w:pPr>
      <w:r>
        <w:rPr>
          <w:sz w:val="24"/>
          <w:szCs w:val="24"/>
        </w:rPr>
        <w:t>Zaghloul, A., Elalfy, M., (2018) Hip Joint: Embryology, Anatomy and Biomechanics</w:t>
      </w:r>
      <w:r>
        <w:rPr>
          <w:i/>
          <w:iCs/>
          <w:sz w:val="24"/>
          <w:szCs w:val="24"/>
        </w:rPr>
        <w:t>. Journal of Scientific and Tehncial Research</w:t>
      </w:r>
      <w:r>
        <w:rPr>
          <w:sz w:val="24"/>
          <w:szCs w:val="24"/>
        </w:rPr>
        <w:t xml:space="preserve">. 12(3). 9304-9318 </w:t>
      </w:r>
    </w:p>
    <w:p w14:paraId="32895EFC" w14:textId="77777777" w:rsidR="00350350" w:rsidRDefault="00000000">
      <w:pPr>
        <w:spacing w:line="360" w:lineRule="auto"/>
        <w:ind w:firstLine="540"/>
        <w:jc w:val="both"/>
        <w:rPr>
          <w:sz w:val="24"/>
          <w:szCs w:val="24"/>
          <w:lang w:val="ro-RO"/>
        </w:rPr>
      </w:pPr>
      <w:hyperlink r:id="rId13">
        <w:r w:rsidR="00350350">
          <w:rPr>
            <w:rStyle w:val="Hyperlink"/>
            <w:sz w:val="24"/>
            <w:szCs w:val="24"/>
          </w:rPr>
          <w:t>https://health.ucdavis.edu/synthesis/issues/spring2019/knee.html</w:t>
        </w:r>
      </w:hyperlink>
      <w:r w:rsidR="00350350">
        <w:rPr>
          <w:sz w:val="24"/>
          <w:szCs w:val="24"/>
        </w:rPr>
        <w:t>, accessed 6.01.2024, 10:20</w:t>
      </w:r>
    </w:p>
    <w:p w14:paraId="5B0DB55F" w14:textId="77777777" w:rsidR="00350350" w:rsidRDefault="00583A05">
      <w:pPr>
        <w:spacing w:line="360" w:lineRule="auto"/>
        <w:ind w:firstLine="540"/>
        <w:jc w:val="both"/>
        <w:rPr>
          <w:sz w:val="24"/>
          <w:szCs w:val="24"/>
        </w:rPr>
      </w:pPr>
      <w:r>
        <w:rPr>
          <w:sz w:val="24"/>
          <w:szCs w:val="24"/>
        </w:rPr>
        <w:t>https://health.ucdavis.edu/synthesis/issues/spring2019/knee.html</w:t>
      </w:r>
      <w:r>
        <w:rPr>
          <w:sz w:val="24"/>
          <w:szCs w:val="24"/>
          <w:lang w:val="ro-RO"/>
        </w:rPr>
        <w:t>, accessed 06.02.2024, 18</w:t>
      </w:r>
      <w:r>
        <w:rPr>
          <w:sz w:val="24"/>
          <w:szCs w:val="24"/>
        </w:rPr>
        <w:t>:00</w:t>
      </w:r>
    </w:p>
    <w:p w14:paraId="37F3F6D2" w14:textId="77777777" w:rsidR="00350350" w:rsidRDefault="00000000">
      <w:pPr>
        <w:spacing w:line="360" w:lineRule="auto"/>
        <w:ind w:firstLine="540"/>
        <w:jc w:val="both"/>
        <w:rPr>
          <w:sz w:val="24"/>
          <w:szCs w:val="24"/>
        </w:rPr>
      </w:pPr>
      <w:hyperlink r:id="rId14">
        <w:r w:rsidR="00350350">
          <w:rPr>
            <w:rStyle w:val="Hyperlink"/>
            <w:sz w:val="24"/>
            <w:szCs w:val="24"/>
            <w:lang w:val="ro-RO"/>
          </w:rPr>
          <w:t>https://www.linkedin.com/posts/josephine-hydell_kcad-kcadproud-medicalillustrator-activity-7061512928461500416-QRuQ/?trk=public_profile_share_view</w:t>
        </w:r>
      </w:hyperlink>
      <w:r w:rsidR="00350350">
        <w:rPr>
          <w:sz w:val="24"/>
          <w:szCs w:val="24"/>
          <w:lang w:val="ro-RO"/>
        </w:rPr>
        <w:t>, accessed 05.01.2024, 16</w:t>
      </w:r>
      <w:r w:rsidR="00350350">
        <w:rPr>
          <w:sz w:val="24"/>
          <w:szCs w:val="24"/>
        </w:rPr>
        <w:t>:00</w:t>
      </w:r>
    </w:p>
    <w:p w14:paraId="2550B30D" w14:textId="77777777" w:rsidR="00350350" w:rsidRDefault="00000000">
      <w:pPr>
        <w:spacing w:line="360" w:lineRule="auto"/>
        <w:ind w:firstLine="540"/>
        <w:jc w:val="both"/>
        <w:rPr>
          <w:sz w:val="24"/>
          <w:szCs w:val="24"/>
          <w:lang w:val="ro-RO"/>
        </w:rPr>
      </w:pPr>
      <w:hyperlink r:id="rId15">
        <w:r w:rsidR="00350350">
          <w:rPr>
            <w:rStyle w:val="Hyperlink"/>
            <w:sz w:val="24"/>
            <w:szCs w:val="24"/>
            <w:lang w:val="ro-RO"/>
          </w:rPr>
          <w:t>https://www.linkedin.com/posts/josephine-hydell_kcad-kcadproud-medicalillustrator-activity-7061512928461500416-QRuQ/?trk=public_profile_share_view</w:t>
        </w:r>
      </w:hyperlink>
      <w:r w:rsidR="00350350">
        <w:rPr>
          <w:sz w:val="24"/>
          <w:szCs w:val="24"/>
          <w:lang w:val="ro-RO"/>
        </w:rPr>
        <w:t>, accessed 03.02.2024, 13</w:t>
      </w:r>
      <w:r w:rsidR="00350350">
        <w:rPr>
          <w:sz w:val="24"/>
          <w:szCs w:val="24"/>
        </w:rPr>
        <w:t>:40</w:t>
      </w:r>
    </w:p>
    <w:p w14:paraId="23F1CE9E" w14:textId="77777777" w:rsidR="00350350" w:rsidRDefault="00583A05">
      <w:pPr>
        <w:spacing w:line="360" w:lineRule="auto"/>
        <w:ind w:firstLine="540"/>
        <w:jc w:val="both"/>
        <w:rPr>
          <w:sz w:val="24"/>
          <w:szCs w:val="24"/>
          <w:lang w:val="ro-RO"/>
        </w:rPr>
      </w:pPr>
      <w:r>
        <w:rPr>
          <w:sz w:val="24"/>
          <w:szCs w:val="24"/>
          <w:lang w:val="ro-RO"/>
        </w:rPr>
        <w:t>https://www.paraplegie.ch/orthotec/en/aids/walking-and-moving/orthotic-prostheses/, accessed 07.02.2024, 9</w:t>
      </w:r>
      <w:r>
        <w:rPr>
          <w:sz w:val="24"/>
          <w:szCs w:val="24"/>
        </w:rPr>
        <w:t>:00</w:t>
      </w:r>
    </w:p>
    <w:p w14:paraId="0E905586" w14:textId="77777777" w:rsidR="00350350" w:rsidRDefault="00000000">
      <w:pPr>
        <w:spacing w:line="360" w:lineRule="auto"/>
        <w:ind w:left="540"/>
        <w:jc w:val="both"/>
        <w:rPr>
          <w:sz w:val="24"/>
          <w:szCs w:val="24"/>
          <w:lang w:val="ro-RO"/>
        </w:rPr>
      </w:pPr>
      <w:hyperlink r:id="rId16">
        <w:r w:rsidR="00350350">
          <w:rPr>
            <w:rStyle w:val="Hyperlink"/>
            <w:sz w:val="24"/>
            <w:szCs w:val="24"/>
          </w:rPr>
          <w:t>https://www.researchgate.net/figure/Schematic-drawing-of-the-preexisting-Borggreve-Van-Nes-rotationplasty-left-and-the_fig2_347696898</w:t>
        </w:r>
      </w:hyperlink>
      <w:r w:rsidR="00350350">
        <w:rPr>
          <w:sz w:val="24"/>
          <w:szCs w:val="24"/>
        </w:rPr>
        <w:t xml:space="preserve">, </w:t>
      </w:r>
      <w:hyperlink r:id="rId17">
        <w:r w:rsidR="00350350">
          <w:rPr>
            <w:rStyle w:val="Hyperlink"/>
            <w:sz w:val="24"/>
            <w:szCs w:val="24"/>
          </w:rPr>
          <w:t>https://www.istockphoto.com/ro/fotografii/leg-bone</w:t>
        </w:r>
      </w:hyperlink>
      <w:r w:rsidR="00350350">
        <w:rPr>
          <w:sz w:val="24"/>
          <w:szCs w:val="24"/>
        </w:rPr>
        <w:t>, accessed 05.01.2024, 17:00</w:t>
      </w:r>
    </w:p>
    <w:p w14:paraId="522DAC27" w14:textId="77777777" w:rsidR="00350350" w:rsidRDefault="00583A05">
      <w:pPr>
        <w:spacing w:line="360" w:lineRule="auto"/>
        <w:ind w:firstLine="540"/>
        <w:jc w:val="both"/>
        <w:rPr>
          <w:sz w:val="24"/>
          <w:szCs w:val="24"/>
          <w:lang w:val="ro-RO"/>
        </w:rPr>
      </w:pPr>
      <w:r>
        <w:rPr>
          <w:sz w:val="24"/>
          <w:szCs w:val="24"/>
        </w:rPr>
        <w:t>https://www.sciencedirect.com/science/article/pii/S2666769X20300051</w:t>
      </w:r>
      <w:r>
        <w:rPr>
          <w:sz w:val="24"/>
          <w:szCs w:val="24"/>
          <w:lang w:val="ro-RO"/>
        </w:rPr>
        <w:t>, accessed 06.02.2024, 17</w:t>
      </w:r>
      <w:r>
        <w:rPr>
          <w:sz w:val="24"/>
          <w:szCs w:val="24"/>
        </w:rPr>
        <w:t>:00</w:t>
      </w:r>
    </w:p>
    <w:p w14:paraId="3D323008" w14:textId="77777777" w:rsidR="00350350" w:rsidRDefault="00000000">
      <w:pPr>
        <w:spacing w:line="360" w:lineRule="auto"/>
        <w:ind w:firstLine="540"/>
        <w:jc w:val="both"/>
        <w:rPr>
          <w:sz w:val="24"/>
          <w:szCs w:val="24"/>
          <w:lang w:val="ro-RO"/>
        </w:rPr>
      </w:pPr>
      <w:hyperlink r:id="rId18">
        <w:r w:rsidR="00350350">
          <w:rPr>
            <w:rStyle w:val="Hyperlink"/>
            <w:sz w:val="24"/>
            <w:szCs w:val="24"/>
            <w:lang w:val="ro-RO"/>
          </w:rPr>
          <w:t>https://www.semanticscholar.org/paper/New-socket-less-prosthesis-concept-facilitating-and-Scheepers-Storcken/e7ba65940f5120d993a65f78cacb56949e8a960b/figure/1</w:t>
        </w:r>
      </w:hyperlink>
      <w:r w:rsidR="00350350">
        <w:rPr>
          <w:sz w:val="24"/>
          <w:szCs w:val="24"/>
          <w:lang w:val="ro-RO"/>
        </w:rPr>
        <w:t>,</w:t>
      </w:r>
    </w:p>
    <w:p w14:paraId="496970E8" w14:textId="77777777" w:rsidR="00350350" w:rsidRDefault="00000000">
      <w:pPr>
        <w:spacing w:line="360" w:lineRule="auto"/>
        <w:jc w:val="both"/>
        <w:rPr>
          <w:sz w:val="24"/>
          <w:szCs w:val="24"/>
        </w:rPr>
      </w:pPr>
      <w:hyperlink r:id="rId19">
        <w:r w:rsidR="00350350">
          <w:rPr>
            <w:rStyle w:val="Hyperlink"/>
            <w:sz w:val="24"/>
            <w:szCs w:val="24"/>
            <w:lang w:val="ro-RO"/>
          </w:rPr>
          <w:t>https://www.wikidoc.org/index.php/File:Osteosarcoma-of-the-distal-femur.jpg</w:t>
        </w:r>
      </w:hyperlink>
      <w:r w:rsidR="00350350">
        <w:rPr>
          <w:sz w:val="24"/>
          <w:szCs w:val="24"/>
          <w:lang w:val="ro-RO"/>
        </w:rPr>
        <w:t xml:space="preserve"> accessed 12.12. 2023, ora 10</w:t>
      </w:r>
      <w:r w:rsidR="00350350">
        <w:rPr>
          <w:sz w:val="24"/>
          <w:szCs w:val="24"/>
        </w:rPr>
        <w:t>:30</w:t>
      </w:r>
    </w:p>
    <w:p w14:paraId="6D1D517D" w14:textId="77777777" w:rsidR="00350350" w:rsidRDefault="00583A05">
      <w:pPr>
        <w:spacing w:line="360" w:lineRule="auto"/>
        <w:ind w:firstLine="540"/>
        <w:jc w:val="both"/>
        <w:rPr>
          <w:sz w:val="24"/>
          <w:szCs w:val="24"/>
        </w:rPr>
      </w:pPr>
      <w:r>
        <w:rPr>
          <w:sz w:val="24"/>
          <w:szCs w:val="24"/>
        </w:rPr>
        <w:t>https://plasticsurgerykey.com/rotationplasty-of-the-lower-extremity/</w:t>
      </w:r>
      <w:r>
        <w:rPr>
          <w:sz w:val="24"/>
          <w:szCs w:val="24"/>
          <w:lang w:val="ro-RO"/>
        </w:rPr>
        <w:t>, accessed 05.01.2024, 16</w:t>
      </w:r>
      <w:r>
        <w:rPr>
          <w:sz w:val="24"/>
          <w:szCs w:val="24"/>
        </w:rPr>
        <w:t>:00</w:t>
      </w:r>
    </w:p>
    <w:p w14:paraId="18CC271E" w14:textId="77777777" w:rsidR="00350350" w:rsidRDefault="00000000">
      <w:pPr>
        <w:spacing w:line="360" w:lineRule="auto"/>
        <w:ind w:firstLine="540"/>
        <w:jc w:val="both"/>
        <w:rPr>
          <w:sz w:val="24"/>
          <w:szCs w:val="24"/>
        </w:rPr>
      </w:pPr>
      <w:hyperlink r:id="rId20">
        <w:r w:rsidR="00350350">
          <w:rPr>
            <w:rStyle w:val="Hyperlink"/>
            <w:sz w:val="24"/>
            <w:szCs w:val="24"/>
          </w:rPr>
          <w:t>https://link.springer.com/article/10.1007/s004020000175</w:t>
        </w:r>
      </w:hyperlink>
      <w:r w:rsidR="00350350">
        <w:rPr>
          <w:sz w:val="24"/>
          <w:szCs w:val="24"/>
        </w:rPr>
        <w:t>, accessed 02.01.2024, 09:15</w:t>
      </w:r>
    </w:p>
    <w:p w14:paraId="6B05635E" w14:textId="77777777" w:rsidR="00350350" w:rsidRDefault="00000000">
      <w:pPr>
        <w:spacing w:line="360" w:lineRule="auto"/>
        <w:jc w:val="both"/>
        <w:rPr>
          <w:sz w:val="24"/>
          <w:szCs w:val="24"/>
        </w:rPr>
      </w:pPr>
      <w:hyperlink r:id="rId21">
        <w:r w:rsidR="00350350">
          <w:rPr>
            <w:rStyle w:val="Hyperlink"/>
            <w:sz w:val="24"/>
            <w:szCs w:val="24"/>
            <w:lang w:val="ro-RO"/>
          </w:rPr>
          <w:t>https://allstartherapies.com/2020/02/16/rotationplasty/</w:t>
        </w:r>
      </w:hyperlink>
      <w:r w:rsidR="00350350">
        <w:rPr>
          <w:sz w:val="24"/>
          <w:szCs w:val="24"/>
          <w:lang w:val="ro-RO"/>
        </w:rPr>
        <w:t>, accessed 02.01.2024, 08:00</w:t>
      </w:r>
    </w:p>
    <w:p w14:paraId="48C1F333" w14:textId="77777777" w:rsidR="00350350" w:rsidRDefault="00000000">
      <w:pPr>
        <w:spacing w:line="360" w:lineRule="auto"/>
        <w:ind w:firstLine="630"/>
        <w:jc w:val="both"/>
        <w:rPr>
          <w:sz w:val="24"/>
          <w:szCs w:val="24"/>
          <w:lang w:val="ro-RO"/>
        </w:rPr>
      </w:pPr>
      <w:hyperlink r:id="rId22">
        <w:r w:rsidR="00350350">
          <w:rPr>
            <w:rStyle w:val="Hyperlink"/>
            <w:sz w:val="24"/>
            <w:szCs w:val="24"/>
            <w:lang w:val="ro-RO"/>
          </w:rPr>
          <w:t>https://excelrehabsports.com/2022/06/25/the-top-3-things-that-everybody-should-know-about-iastm/</w:t>
        </w:r>
      </w:hyperlink>
      <w:r w:rsidR="00350350">
        <w:rPr>
          <w:sz w:val="24"/>
          <w:szCs w:val="24"/>
          <w:lang w:val="ro-RO"/>
        </w:rPr>
        <w:t>, accessed 23.03.2024, 12</w:t>
      </w:r>
      <w:r w:rsidR="00350350">
        <w:rPr>
          <w:sz w:val="24"/>
          <w:szCs w:val="24"/>
        </w:rPr>
        <w:t>:00</w:t>
      </w:r>
    </w:p>
    <w:p w14:paraId="539BD4A7" w14:textId="77777777" w:rsidR="00350350" w:rsidRDefault="00350350">
      <w:pPr>
        <w:spacing w:line="360" w:lineRule="auto"/>
        <w:jc w:val="both"/>
        <w:rPr>
          <w:b/>
          <w:bCs/>
          <w:sz w:val="24"/>
          <w:szCs w:val="24"/>
          <w:lang w:val="ro-RO"/>
        </w:rPr>
      </w:pPr>
    </w:p>
    <w:sectPr w:rsidR="0035035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0" w:gutter="0"/>
      <w:cols w:space="720"/>
      <w:formProt w:val="0"/>
      <w:docGrid w:linePitch="272"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2-28T17:49:00Z" w:initials="L">
    <w:p w14:paraId="66B361B6" w14:textId="3DB733E8" w:rsidR="00655CAF" w:rsidRDefault="00655CAF">
      <w:pPr>
        <w:pStyle w:val="CommentText"/>
      </w:pPr>
      <w:r>
        <w:rPr>
          <w:rStyle w:val="CommentReference"/>
        </w:rPr>
        <w:annotationRef/>
      </w:r>
      <w:r w:rsidRPr="00655CAF">
        <w:t>Researchers should prepare abstracts well and completely, especially if the methods and results have not been clearly explained.</w:t>
      </w:r>
    </w:p>
  </w:comment>
  <w:comment w:id="1" w:author="LENOVO" w:date="2025-02-28T17:52:00Z" w:initials="L">
    <w:p w14:paraId="384F2D70" w14:textId="4EA54079" w:rsidR="00655CAF" w:rsidRDefault="00655CAF">
      <w:pPr>
        <w:pStyle w:val="CommentText"/>
      </w:pPr>
      <w:r>
        <w:rPr>
          <w:rStyle w:val="CommentReference"/>
        </w:rPr>
        <w:annotationRef/>
      </w:r>
      <w:r w:rsidRPr="00655CAF">
        <w:t>In this chapter, the researcher should explain what the research problem is, the prevalence of cases, what efforts have been made to overcome the problem and what efforts the researcher offers. Finally, the researcher offers what the urgency of this research is, and what the purpose of the research is.</w:t>
      </w:r>
    </w:p>
  </w:comment>
  <w:comment w:id="2" w:author="LENOVO" w:date="2025-02-28T18:16:00Z" w:initials="L">
    <w:p w14:paraId="245145FB" w14:textId="5CA21C3B" w:rsidR="00C72607" w:rsidRDefault="00C72607">
      <w:pPr>
        <w:pStyle w:val="CommentText"/>
      </w:pPr>
      <w:r>
        <w:rPr>
          <w:rStyle w:val="CommentReference"/>
        </w:rPr>
        <w:annotationRef/>
      </w:r>
      <w:r w:rsidRPr="00C72607">
        <w:t>This article does not show the complete method, and the results of the analysis</w:t>
      </w:r>
    </w:p>
  </w:comment>
  <w:comment w:id="3" w:author="LENOVO" w:date="2025-02-28T18:19:00Z" w:initials="L">
    <w:p w14:paraId="2B74802F" w14:textId="25141FA8" w:rsidR="00C72607" w:rsidRDefault="00C72607">
      <w:pPr>
        <w:pStyle w:val="CommentText"/>
      </w:pPr>
      <w:r>
        <w:rPr>
          <w:rStyle w:val="CommentReference"/>
        </w:rPr>
        <w:annotationRef/>
      </w:r>
      <w:r w:rsidRPr="00C72607">
        <w:t>Researchers should explain what their findings are.</w:t>
      </w:r>
    </w:p>
  </w:comment>
  <w:comment w:id="4" w:author="LENOVO" w:date="2025-02-28T18:17:00Z" w:initials="L">
    <w:p w14:paraId="5221E5F7" w14:textId="2B385729" w:rsidR="00C72607" w:rsidRDefault="00C72607">
      <w:pPr>
        <w:pStyle w:val="CommentText"/>
      </w:pPr>
      <w:r>
        <w:rPr>
          <w:rStyle w:val="CommentReference"/>
        </w:rPr>
        <w:annotationRef/>
      </w:r>
      <w:r w:rsidRPr="00C72607">
        <w:t>References should use the latest references. References from journal articles should be published in the last 5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61B6" w15:done="0"/>
  <w15:commentEx w15:paraId="384F2D70" w15:done="0"/>
  <w15:commentEx w15:paraId="245145FB" w15:done="0"/>
  <w15:commentEx w15:paraId="2B74802F" w15:done="0"/>
  <w15:commentEx w15:paraId="5221E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C75A8" w16cex:dateUtc="2025-02-28T09:49:00Z"/>
  <w16cex:commentExtensible w16cex:durableId="2B6C7642" w16cex:dateUtc="2025-02-28T09:52:00Z"/>
  <w16cex:commentExtensible w16cex:durableId="2B6C7BF6" w16cex:dateUtc="2025-02-28T10:16:00Z"/>
  <w16cex:commentExtensible w16cex:durableId="2B6C7CA3" w16cex:dateUtc="2025-02-28T10:19:00Z"/>
  <w16cex:commentExtensible w16cex:durableId="2B6C7C55" w16cex:dateUtc="2025-02-2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61B6" w16cid:durableId="2B6C75A8"/>
  <w16cid:commentId w16cid:paraId="384F2D70" w16cid:durableId="2B6C7642"/>
  <w16cid:commentId w16cid:paraId="245145FB" w16cid:durableId="2B6C7BF6"/>
  <w16cid:commentId w16cid:paraId="2B74802F" w16cid:durableId="2B6C7CA3"/>
  <w16cid:commentId w16cid:paraId="5221E5F7" w16cid:durableId="2B6C7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0C01" w14:textId="77777777" w:rsidR="00616ECE" w:rsidRDefault="00616ECE">
      <w:r>
        <w:separator/>
      </w:r>
    </w:p>
  </w:endnote>
  <w:endnote w:type="continuationSeparator" w:id="0">
    <w:p w14:paraId="3BA9C61F" w14:textId="77777777" w:rsidR="00616ECE" w:rsidRDefault="0061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swiss"/>
    <w:pitch w:val="variable"/>
  </w:font>
  <w:font w:name="DejaVu Sans">
    <w:altName w:val="Arial Unicode MS"/>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D767" w14:textId="77777777" w:rsidR="00891A8A" w:rsidRDefault="0089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A01A" w14:textId="77777777" w:rsidR="00891A8A" w:rsidRDefault="00891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3E0" w14:textId="77777777" w:rsidR="00891A8A" w:rsidRDefault="0089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8749" w14:textId="77777777" w:rsidR="00616ECE" w:rsidRDefault="00616ECE">
      <w:r>
        <w:separator/>
      </w:r>
    </w:p>
  </w:footnote>
  <w:footnote w:type="continuationSeparator" w:id="0">
    <w:p w14:paraId="48662157" w14:textId="77777777" w:rsidR="00616ECE" w:rsidRDefault="0061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7916" w14:textId="10B0E461" w:rsidR="00350350" w:rsidRDefault="00000000">
    <w:pPr>
      <w:pStyle w:val="Header"/>
    </w:pPr>
    <w:r>
      <w:rPr>
        <w:noProof/>
      </w:rPr>
      <w:pict w14:anchorId="5DB1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B7E7" w14:textId="0A7B7C76" w:rsidR="00350350" w:rsidRDefault="00000000">
    <w:pPr>
      <w:pStyle w:val="Header"/>
    </w:pPr>
    <w:r>
      <w:rPr>
        <w:noProof/>
      </w:rPr>
      <w:pict w14:anchorId="2249F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3E0F" w14:textId="35137283" w:rsidR="00350350" w:rsidRDefault="00000000">
    <w:pPr>
      <w:pStyle w:val="Header"/>
    </w:pPr>
    <w:r>
      <w:rPr>
        <w:noProof/>
      </w:rPr>
      <w:pict w14:anchorId="19F0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664C"/>
    <w:multiLevelType w:val="multilevel"/>
    <w:tmpl w:val="6A443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2A96225"/>
    <w:multiLevelType w:val="multilevel"/>
    <w:tmpl w:val="FCC80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276D23"/>
    <w:multiLevelType w:val="multilevel"/>
    <w:tmpl w:val="2B18B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B94E0B"/>
    <w:multiLevelType w:val="multilevel"/>
    <w:tmpl w:val="7376F1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5872B52"/>
    <w:multiLevelType w:val="multilevel"/>
    <w:tmpl w:val="3E964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042C2F"/>
    <w:multiLevelType w:val="multilevel"/>
    <w:tmpl w:val="8D2082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D8C6139"/>
    <w:multiLevelType w:val="multilevel"/>
    <w:tmpl w:val="095C6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47028323">
    <w:abstractNumId w:val="1"/>
  </w:num>
  <w:num w:numId="2" w16cid:durableId="34620668">
    <w:abstractNumId w:val="6"/>
  </w:num>
  <w:num w:numId="3" w16cid:durableId="1354918762">
    <w:abstractNumId w:val="4"/>
  </w:num>
  <w:num w:numId="4" w16cid:durableId="5061764">
    <w:abstractNumId w:val="5"/>
  </w:num>
  <w:num w:numId="5" w16cid:durableId="1191383253">
    <w:abstractNumId w:val="0"/>
  </w:num>
  <w:num w:numId="6" w16cid:durableId="757605260">
    <w:abstractNumId w:val="3"/>
  </w:num>
  <w:num w:numId="7" w16cid:durableId="21410748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350"/>
    <w:rsid w:val="00350350"/>
    <w:rsid w:val="004017DC"/>
    <w:rsid w:val="004B31D6"/>
    <w:rsid w:val="00583A05"/>
    <w:rsid w:val="00616ECE"/>
    <w:rsid w:val="00655CAF"/>
    <w:rsid w:val="006741E1"/>
    <w:rsid w:val="00891A8A"/>
    <w:rsid w:val="00B42BB1"/>
    <w:rsid w:val="00C50E4D"/>
    <w:rsid w:val="00C726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C051E"/>
  <w15:docId w15:val="{00B879E0-B256-4158-B259-18DF51D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1F"/>
    <w:rPr>
      <w:lang w:val="de-DE" w:eastAsia="en-US"/>
    </w:rPr>
  </w:style>
  <w:style w:type="paragraph" w:styleId="Heading1">
    <w:name w:val="heading 1"/>
    <w:basedOn w:val="Normal"/>
    <w:next w:val="Normal"/>
    <w:link w:val="Heading1Char"/>
    <w:uiPriority w:val="99"/>
    <w:qFormat/>
    <w:rsid w:val="0007741F"/>
    <w:pPr>
      <w:keepNext/>
      <w:outlineLvl w:val="0"/>
    </w:pPr>
    <w:rPr>
      <w:rFonts w:ascii="Cambria" w:hAnsi="Cambria"/>
      <w:b/>
      <w:bCs/>
      <w:kern w:val="2"/>
      <w:sz w:val="32"/>
      <w:szCs w:val="32"/>
    </w:rPr>
  </w:style>
  <w:style w:type="paragraph" w:styleId="Heading3">
    <w:name w:val="heading 3"/>
    <w:basedOn w:val="Heading"/>
    <w:next w:val="BodyText"/>
    <w:qFormat/>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07741F"/>
    <w:rPr>
      <w:rFonts w:ascii="Cambria" w:hAnsi="Cambria" w:cs="Times New Roman"/>
      <w:b/>
      <w:bCs/>
      <w:kern w:val="2"/>
      <w:sz w:val="32"/>
      <w:szCs w:val="32"/>
      <w:lang w:val="de-DE" w:eastAsia="en-US"/>
    </w:rPr>
  </w:style>
  <w:style w:type="character" w:customStyle="1" w:styleId="HeaderChar">
    <w:name w:val="Header Char"/>
    <w:link w:val="Header"/>
    <w:uiPriority w:val="99"/>
    <w:semiHidden/>
    <w:qFormat/>
    <w:locked/>
    <w:rsid w:val="0007741F"/>
    <w:rPr>
      <w:rFonts w:cs="Times New Roman"/>
      <w:sz w:val="20"/>
      <w:szCs w:val="20"/>
      <w:lang w:val="de-DE" w:eastAsia="en-US"/>
    </w:rPr>
  </w:style>
  <w:style w:type="character" w:customStyle="1" w:styleId="FooterChar">
    <w:name w:val="Footer Char"/>
    <w:link w:val="Footer"/>
    <w:uiPriority w:val="99"/>
    <w:semiHidden/>
    <w:qFormat/>
    <w:locked/>
    <w:rsid w:val="0007741F"/>
    <w:rPr>
      <w:rFonts w:cs="Times New Roman"/>
      <w:sz w:val="20"/>
      <w:szCs w:val="20"/>
      <w:lang w:val="de-DE" w:eastAsia="en-US"/>
    </w:rPr>
  </w:style>
  <w:style w:type="character" w:styleId="Hyperlink">
    <w:name w:val="Hyperlink"/>
    <w:uiPriority w:val="99"/>
    <w:rsid w:val="0007741F"/>
    <w:rPr>
      <w:rFonts w:cs="Times New Roman"/>
      <w:color w:val="0000FF"/>
      <w:u w:val="single"/>
    </w:rPr>
  </w:style>
  <w:style w:type="character" w:styleId="FollowedHyperlink">
    <w:name w:val="FollowedHyperlink"/>
    <w:uiPriority w:val="99"/>
    <w:rsid w:val="0007741F"/>
    <w:rPr>
      <w:rFonts w:cs="Times New Roman"/>
      <w:color w:val="800080"/>
      <w:u w:val="single"/>
    </w:rPr>
  </w:style>
  <w:style w:type="character" w:customStyle="1" w:styleId="BalloonTextChar">
    <w:name w:val="Balloon Text Char"/>
    <w:link w:val="BalloonText"/>
    <w:uiPriority w:val="99"/>
    <w:semiHidden/>
    <w:qFormat/>
    <w:locked/>
    <w:rsid w:val="0007741F"/>
    <w:rPr>
      <w:rFonts w:ascii="Tahoma" w:hAnsi="Tahoma" w:cs="Tahoma"/>
      <w:sz w:val="16"/>
      <w:szCs w:val="16"/>
      <w:lang w:val="de-DE" w:eastAsia="en-US"/>
    </w:rPr>
  </w:style>
  <w:style w:type="character" w:customStyle="1" w:styleId="FootnoteTextChar">
    <w:name w:val="Footnote Text Char"/>
    <w:link w:val="FootnoteText"/>
    <w:uiPriority w:val="99"/>
    <w:semiHidden/>
    <w:qFormat/>
    <w:locked/>
    <w:rsid w:val="0007741F"/>
    <w:rPr>
      <w:rFonts w:cs="Times New Roman"/>
      <w:sz w:val="20"/>
      <w:szCs w:val="20"/>
      <w:lang w:val="de-DE" w:eastAsia="en-US"/>
    </w:rPr>
  </w:style>
  <w:style w:type="character" w:customStyle="1" w:styleId="FootnoteCharacters">
    <w:name w:val="Footnote Characters"/>
    <w:uiPriority w:val="99"/>
    <w:semiHidden/>
    <w:qFormat/>
    <w:rsid w:val="0007741F"/>
    <w:rPr>
      <w:rFonts w:cs="Times New Roman"/>
      <w:vertAlign w:val="superscript"/>
    </w:rPr>
  </w:style>
  <w:style w:type="character" w:styleId="FootnoteReference">
    <w:name w:val="footnote reference"/>
    <w:rPr>
      <w:rFonts w:cs="Times New Roman"/>
      <w:vertAlign w:val="superscript"/>
    </w:rPr>
  </w:style>
  <w:style w:type="character" w:customStyle="1" w:styleId="HTMLPreformattedChar">
    <w:name w:val="HTML Preformatted Char"/>
    <w:link w:val="HTMLPreformatted"/>
    <w:uiPriority w:val="99"/>
    <w:semiHidden/>
    <w:qFormat/>
    <w:rsid w:val="004F7AE3"/>
    <w:rPr>
      <w:rFonts w:ascii="Courier New" w:hAnsi="Courier New" w:cs="Courier New"/>
    </w:rPr>
  </w:style>
  <w:style w:type="character" w:customStyle="1" w:styleId="BodyTextChar">
    <w:name w:val="Body Text Char"/>
    <w:basedOn w:val="DefaultParagraphFont"/>
    <w:link w:val="BodyText"/>
    <w:qFormat/>
    <w:rsid w:val="004729DD"/>
    <w:rPr>
      <w:sz w:val="22"/>
      <w:lang w:val="en-GB" w:eastAsia="en-GB"/>
    </w:rPr>
  </w:style>
  <w:style w:type="character" w:customStyle="1" w:styleId="hps">
    <w:name w:val="hps"/>
    <w:basedOn w:val="DefaultParagraphFont"/>
    <w:qFormat/>
    <w:rsid w:val="00E82B5F"/>
  </w:style>
  <w:style w:type="character" w:styleId="Emphasis">
    <w:name w:val="Emphasis"/>
    <w:uiPriority w:val="20"/>
    <w:qFormat/>
    <w:locked/>
    <w:rsid w:val="003D1DDC"/>
    <w:rPr>
      <w:i/>
      <w:iCs/>
    </w:rPr>
  </w:style>
  <w:style w:type="character" w:customStyle="1" w:styleId="ListParagraphChar">
    <w:name w:val="List Paragraph Char"/>
    <w:link w:val="ListParagraph"/>
    <w:uiPriority w:val="34"/>
    <w:qFormat/>
    <w:rsid w:val="00154751"/>
    <w:rPr>
      <w:rFonts w:ascii="Calibri" w:eastAsia="Calibri" w:hAnsi="Calibri"/>
      <w:sz w:val="22"/>
      <w:szCs w:val="22"/>
      <w:lang w:eastAsia="en-US"/>
    </w:rPr>
  </w:style>
  <w:style w:type="character" w:customStyle="1" w:styleId="hlfld-contribauthor">
    <w:name w:val="hlfld-contribauthor"/>
    <w:basedOn w:val="DefaultParagraphFont"/>
    <w:qFormat/>
    <w:rsid w:val="00B51884"/>
  </w:style>
  <w:style w:type="character" w:styleId="Strong">
    <w:name w:val="Strong"/>
    <w:basedOn w:val="DefaultParagraphFont"/>
    <w:uiPriority w:val="22"/>
    <w:qFormat/>
    <w:locked/>
    <w:rsid w:val="00D829FC"/>
    <w:rPr>
      <w:b/>
      <w:bCs/>
    </w:rPr>
  </w:style>
  <w:style w:type="character" w:styleId="UnresolvedMention">
    <w:name w:val="Unresolved Mention"/>
    <w:basedOn w:val="DefaultParagraphFont"/>
    <w:uiPriority w:val="99"/>
    <w:semiHidden/>
    <w:unhideWhenUsed/>
    <w:qFormat/>
    <w:rsid w:val="00BB5E1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4729DD"/>
    <w:pPr>
      <w:jc w:val="both"/>
    </w:pPr>
    <w:rPr>
      <w:sz w:val="22"/>
      <w:lang w:val="en-GB" w:eastAsia="en-G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TPTitle">
    <w:name w:val="TTP Title"/>
    <w:basedOn w:val="Normal"/>
    <w:next w:val="TTPAuthors"/>
    <w:uiPriority w:val="99"/>
    <w:qFormat/>
    <w:rsid w:val="0007741F"/>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qFormat/>
    <w:rsid w:val="0007741F"/>
    <w:pPr>
      <w:spacing w:before="120"/>
      <w:jc w:val="center"/>
    </w:pPr>
    <w:rPr>
      <w:rFonts w:ascii="Arial" w:hAnsi="Arial" w:cs="Arial"/>
      <w:sz w:val="28"/>
      <w:szCs w:val="28"/>
      <w:lang w:val="en-US"/>
    </w:rPr>
  </w:style>
  <w:style w:type="paragraph" w:customStyle="1" w:styleId="TTPAddress">
    <w:name w:val="TTP Address"/>
    <w:basedOn w:val="Normal"/>
    <w:uiPriority w:val="99"/>
    <w:qFormat/>
    <w:rsid w:val="0007741F"/>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qFormat/>
    <w:rsid w:val="0007741F"/>
    <w:pPr>
      <w:spacing w:before="360" w:after="120" w:line="276" w:lineRule="auto"/>
      <w:jc w:val="both"/>
    </w:pPr>
    <w:rPr>
      <w:b/>
      <w:bCs/>
      <w:sz w:val="24"/>
      <w:szCs w:val="24"/>
      <w:lang w:val="en-US"/>
    </w:rPr>
  </w:style>
  <w:style w:type="paragraph" w:customStyle="1" w:styleId="TTPParagraph1st">
    <w:name w:val="TTP Paragraph (1st)"/>
    <w:basedOn w:val="Normal"/>
    <w:next w:val="TTPParagraphothers"/>
    <w:uiPriority w:val="99"/>
    <w:qFormat/>
    <w:rsid w:val="0007741F"/>
    <w:pPr>
      <w:jc w:val="both"/>
    </w:pPr>
    <w:rPr>
      <w:sz w:val="24"/>
      <w:szCs w:val="24"/>
      <w:lang w:val="en-US"/>
    </w:rPr>
  </w:style>
  <w:style w:type="paragraph" w:customStyle="1" w:styleId="TTPParagraphothers">
    <w:name w:val="TTP Paragraph (others)"/>
    <w:basedOn w:val="TTPParagraph1st"/>
    <w:uiPriority w:val="99"/>
    <w:qFormat/>
    <w:rsid w:val="0007741F"/>
    <w:pPr>
      <w:ind w:firstLine="283"/>
    </w:pPr>
  </w:style>
  <w:style w:type="paragraph" w:customStyle="1" w:styleId="TTPReference">
    <w:name w:val="TTP Reference"/>
    <w:basedOn w:val="Normal"/>
    <w:uiPriority w:val="99"/>
    <w:qFormat/>
    <w:rsid w:val="0007741F"/>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qFormat/>
    <w:rsid w:val="0007741F"/>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qFormat/>
    <w:rsid w:val="0007741F"/>
    <w:pPr>
      <w:spacing w:before="360"/>
      <w:jc w:val="both"/>
    </w:pPr>
    <w:rPr>
      <w:sz w:val="24"/>
      <w:szCs w:val="24"/>
      <w:lang w:val="en-US"/>
    </w:rPr>
  </w:style>
  <w:style w:type="paragraph" w:customStyle="1" w:styleId="TTPEquation">
    <w:name w:val="TTP Equation"/>
    <w:basedOn w:val="Normal"/>
    <w:next w:val="TTPParagraph1st"/>
    <w:uiPriority w:val="99"/>
    <w:qFormat/>
    <w:rsid w:val="0007741F"/>
    <w:pPr>
      <w:tabs>
        <w:tab w:val="right" w:pos="9923"/>
      </w:tabs>
      <w:spacing w:before="240" w:after="240"/>
      <w:ind w:left="284" w:right="-11"/>
      <w:jc w:val="both"/>
    </w:pPr>
    <w:rPr>
      <w:sz w:val="24"/>
      <w:szCs w:val="24"/>
    </w:rPr>
  </w:style>
  <w:style w:type="paragraph" w:customStyle="1" w:styleId="HeaderandFooter">
    <w:name w:val="Header and Footer"/>
    <w:basedOn w:val="Normal"/>
    <w:qFormat/>
  </w:style>
  <w:style w:type="paragraph" w:styleId="Header">
    <w:name w:val="header"/>
    <w:basedOn w:val="Normal"/>
    <w:link w:val="HeaderChar"/>
    <w:uiPriority w:val="99"/>
    <w:rsid w:val="0007741F"/>
    <w:pPr>
      <w:tabs>
        <w:tab w:val="center" w:pos="4536"/>
        <w:tab w:val="right" w:pos="9072"/>
      </w:tabs>
    </w:pPr>
  </w:style>
  <w:style w:type="paragraph" w:styleId="Footer">
    <w:name w:val="footer"/>
    <w:basedOn w:val="Normal"/>
    <w:link w:val="FooterChar"/>
    <w:uiPriority w:val="99"/>
    <w:rsid w:val="0007741F"/>
    <w:pPr>
      <w:tabs>
        <w:tab w:val="center" w:pos="4536"/>
        <w:tab w:val="right" w:pos="9072"/>
      </w:tabs>
    </w:pPr>
  </w:style>
  <w:style w:type="paragraph" w:customStyle="1" w:styleId="TTPFootnote">
    <w:name w:val="TTP Footnote"/>
    <w:basedOn w:val="TTPParagraphothers"/>
    <w:uiPriority w:val="99"/>
    <w:qFormat/>
    <w:rsid w:val="0007741F"/>
    <w:pPr>
      <w:pBdr>
        <w:top w:val="single" w:sz="4" w:space="5" w:color="000000"/>
      </w:pBdr>
      <w:spacing w:before="600"/>
      <w:ind w:firstLine="284"/>
    </w:pPr>
    <w:rPr>
      <w:sz w:val="22"/>
      <w:szCs w:val="22"/>
    </w:rPr>
  </w:style>
  <w:style w:type="paragraph" w:styleId="BalloonText">
    <w:name w:val="Balloon Text"/>
    <w:basedOn w:val="Normal"/>
    <w:link w:val="BalloonTextChar"/>
    <w:uiPriority w:val="99"/>
    <w:semiHidden/>
    <w:qFormat/>
    <w:rsid w:val="0007741F"/>
    <w:rPr>
      <w:rFonts w:ascii="Tahoma" w:hAnsi="Tahoma"/>
      <w:sz w:val="16"/>
      <w:szCs w:val="16"/>
    </w:rPr>
  </w:style>
  <w:style w:type="paragraph" w:styleId="FootnoteText">
    <w:name w:val="footnote text"/>
    <w:basedOn w:val="Normal"/>
    <w:link w:val="FootnoteTextChar"/>
    <w:uiPriority w:val="99"/>
    <w:semiHidden/>
    <w:rsid w:val="0007741F"/>
  </w:style>
  <w:style w:type="paragraph" w:styleId="HTMLPreformatted">
    <w:name w:val="HTML Preformatted"/>
    <w:basedOn w:val="Normal"/>
    <w:link w:val="HTMLPreformattedChar"/>
    <w:uiPriority w:val="99"/>
    <w:semiHidden/>
    <w:unhideWhenUsed/>
    <w:qFormat/>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Els-caption">
    <w:name w:val="Els-caption"/>
    <w:qFormat/>
    <w:rsid w:val="00904B8D"/>
    <w:pPr>
      <w:keepLines/>
      <w:spacing w:before="200" w:after="240" w:line="200" w:lineRule="exact"/>
    </w:pPr>
    <w:rPr>
      <w:rFonts w:eastAsia="SimSun"/>
      <w:sz w:val="16"/>
      <w:lang w:val="en-US" w:eastAsia="en-US"/>
    </w:rPr>
  </w:style>
  <w:style w:type="paragraph" w:customStyle="1" w:styleId="Els-table-text">
    <w:name w:val="Els-table-text"/>
    <w:qFormat/>
    <w:rsid w:val="00385D58"/>
    <w:pPr>
      <w:keepNext/>
      <w:spacing w:after="80" w:line="200" w:lineRule="exact"/>
    </w:pPr>
    <w:rPr>
      <w:rFonts w:eastAsia="SimSun"/>
      <w:sz w:val="16"/>
      <w:lang w:val="en-US" w:eastAsia="en-US"/>
    </w:rPr>
  </w:style>
  <w:style w:type="paragraph" w:customStyle="1" w:styleId="Default">
    <w:name w:val="Default"/>
    <w:qFormat/>
    <w:rsid w:val="00992C12"/>
    <w:rPr>
      <w:color w:val="000000"/>
      <w:sz w:val="24"/>
      <w:szCs w:val="24"/>
    </w:rPr>
  </w:style>
  <w:style w:type="paragraph" w:styleId="ListParagraph">
    <w:name w:val="List Paragraph"/>
    <w:basedOn w:val="Normal"/>
    <w:link w:val="ListParagraphChar"/>
    <w:uiPriority w:val="34"/>
    <w:qFormat/>
    <w:rsid w:val="00E82B5F"/>
    <w:pPr>
      <w:spacing w:after="200" w:line="276" w:lineRule="auto"/>
      <w:ind w:left="720"/>
      <w:contextualSpacing/>
    </w:pPr>
    <w:rPr>
      <w:rFonts w:ascii="Calibri" w:eastAsia="Calibri" w:hAnsi="Calibri"/>
      <w:sz w:val="22"/>
      <w:szCs w:val="22"/>
      <w:lang w:val="ro-RO"/>
    </w:rPr>
  </w:style>
  <w:style w:type="paragraph" w:customStyle="1" w:styleId="Els-reference">
    <w:name w:val="Els-reference"/>
    <w:qFormat/>
    <w:rsid w:val="00366766"/>
    <w:pPr>
      <w:tabs>
        <w:tab w:val="left" w:pos="312"/>
      </w:tabs>
      <w:spacing w:line="200" w:lineRule="exact"/>
    </w:pPr>
    <w:rPr>
      <w:rFonts w:eastAsia="SimSun"/>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641C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55CAF"/>
    <w:rPr>
      <w:sz w:val="16"/>
      <w:szCs w:val="16"/>
    </w:rPr>
  </w:style>
  <w:style w:type="paragraph" w:styleId="CommentText">
    <w:name w:val="annotation text"/>
    <w:basedOn w:val="Normal"/>
    <w:link w:val="CommentTextChar"/>
    <w:uiPriority w:val="99"/>
    <w:semiHidden/>
    <w:unhideWhenUsed/>
    <w:rsid w:val="00655CAF"/>
  </w:style>
  <w:style w:type="character" w:customStyle="1" w:styleId="CommentTextChar">
    <w:name w:val="Comment Text Char"/>
    <w:basedOn w:val="DefaultParagraphFont"/>
    <w:link w:val="CommentText"/>
    <w:uiPriority w:val="99"/>
    <w:semiHidden/>
    <w:rsid w:val="00655CAF"/>
    <w:rPr>
      <w:lang w:val="de-DE" w:eastAsia="en-US"/>
    </w:rPr>
  </w:style>
  <w:style w:type="paragraph" w:styleId="CommentSubject">
    <w:name w:val="annotation subject"/>
    <w:basedOn w:val="CommentText"/>
    <w:next w:val="CommentText"/>
    <w:link w:val="CommentSubjectChar"/>
    <w:uiPriority w:val="99"/>
    <w:semiHidden/>
    <w:unhideWhenUsed/>
    <w:rsid w:val="00655CAF"/>
    <w:rPr>
      <w:b/>
      <w:bCs/>
    </w:rPr>
  </w:style>
  <w:style w:type="character" w:customStyle="1" w:styleId="CommentSubjectChar">
    <w:name w:val="Comment Subject Char"/>
    <w:basedOn w:val="CommentTextChar"/>
    <w:link w:val="CommentSubject"/>
    <w:uiPriority w:val="99"/>
    <w:semiHidden/>
    <w:rsid w:val="00655CAF"/>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ealth.ucdavis.edu/synthesis/issues/spring2019/knee.html" TargetMode="External"/><Relationship Id="rId18" Type="http://schemas.openxmlformats.org/officeDocument/2006/relationships/hyperlink" Target="https://www.semanticscholar.org/paper/New-socket-less-prosthesis-concept-facilitating-and-Scheepers-Storcken/e7ba65940f5120d993a65f78cacb56949e8a960b/figure/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llstartherapies.com/2020/02/16/rotationplasty/"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istockphoto.com/ro/fotografii/leg-bon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searchgate.net/figure/Schematic-drawing-of-the-preexisting-Borggreve-Van-Nes-rotationplasty-left-and-the_fig2_347696898" TargetMode="External"/><Relationship Id="rId20" Type="http://schemas.openxmlformats.org/officeDocument/2006/relationships/hyperlink" Target="https://link.springer.com/article/10.1007/s00402000017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inkedin.com/posts/josephine-hydell_kcad-kcadproud-medicalillustrator-activity-7061512928461500416-QRuQ/?trk=public_profile_share_view"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www.wikidoc.org/index.php/File:Osteosarcoma-of-the-distal-femur.jpg"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linkedin.com/posts/josephine-hydell_kcad-kcadproud-medicalillustrator-activity-7061512928461500416-QRuQ/?trk=public_profile_share_view" TargetMode="External"/><Relationship Id="rId22" Type="http://schemas.openxmlformats.org/officeDocument/2006/relationships/hyperlink" Target="https://excelrehabsports.com/2022/06/25/the-top-3-things-that-everybody-should-know-about-iast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32194-90DF-4BBA-9250-730967EB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4918</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Your Paper's Title Starts Here:</vt:lpstr>
    </vt:vector>
  </TitlesOfParts>
  <Company>Trans Tech Publications Ltd</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dc:description/>
  <cp:lastModifiedBy>LENOVO</cp:lastModifiedBy>
  <cp:revision>129</cp:revision>
  <cp:lastPrinted>2013-08-22T11:17:00Z</cp:lastPrinted>
  <dcterms:created xsi:type="dcterms:W3CDTF">2020-02-14T21:28:00Z</dcterms:created>
  <dcterms:modified xsi:type="dcterms:W3CDTF">2025-02-28T10:19:00Z</dcterms:modified>
  <dc:language>en-US</dc:language>
</cp:coreProperties>
</file>