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26988" w14:textId="2951AFCA" w:rsidR="00787EE3" w:rsidRPr="006E19A0" w:rsidRDefault="009C395E">
      <w:pPr>
        <w:rPr>
          <w:rFonts w:ascii="Times New Roman" w:eastAsia="Arial Unicode MS" w:hAnsi="Times New Roman" w:cs="Times New Roman"/>
          <w:b/>
          <w:bCs/>
          <w:i/>
          <w:iCs/>
          <w:kern w:val="24"/>
          <w:sz w:val="20"/>
          <w:szCs w:val="20"/>
          <w:lang w:val="en-GB"/>
        </w:rPr>
      </w:pPr>
      <w:r w:rsidRPr="006E19A0">
        <w:rPr>
          <w:rFonts w:ascii="Times New Roman" w:hAnsi="Times New Roman" w:cs="Times New Roman"/>
          <w:b/>
          <w:bCs/>
          <w:sz w:val="20"/>
          <w:szCs w:val="20"/>
          <w:lang w:val="en-GB"/>
        </w:rPr>
        <w:t xml:space="preserve">Acute toxicity of the </w:t>
      </w:r>
      <w:r w:rsidR="00342599" w:rsidRPr="006E19A0">
        <w:rPr>
          <w:rFonts w:ascii="Times New Roman" w:hAnsi="Times New Roman" w:cs="Times New Roman"/>
          <w:b/>
          <w:bCs/>
          <w:sz w:val="20"/>
          <w:szCs w:val="20"/>
          <w:lang w:val="en-GB"/>
        </w:rPr>
        <w:t>water-soluble</w:t>
      </w:r>
      <w:r w:rsidRPr="006E19A0">
        <w:rPr>
          <w:rFonts w:ascii="Times New Roman" w:hAnsi="Times New Roman" w:cs="Times New Roman"/>
          <w:b/>
          <w:bCs/>
          <w:sz w:val="20"/>
          <w:szCs w:val="20"/>
          <w:lang w:val="en-GB"/>
        </w:rPr>
        <w:t xml:space="preserve"> fraction of Nigerian crude oil on Fiddler Crabs (</w:t>
      </w:r>
      <w:r w:rsidRPr="006E19A0">
        <w:rPr>
          <w:rFonts w:ascii="Times New Roman" w:eastAsia="Arial Unicode MS" w:hAnsi="Times New Roman" w:cs="Times New Roman"/>
          <w:b/>
          <w:bCs/>
          <w:i/>
          <w:iCs/>
          <w:kern w:val="24"/>
          <w:sz w:val="20"/>
          <w:szCs w:val="20"/>
        </w:rPr>
        <w:t>Uca tangeri</w:t>
      </w:r>
      <w:r w:rsidRPr="006E19A0">
        <w:rPr>
          <w:rFonts w:ascii="Times New Roman" w:eastAsia="Arial Unicode MS" w:hAnsi="Times New Roman" w:cs="Times New Roman"/>
          <w:b/>
          <w:bCs/>
          <w:i/>
          <w:iCs/>
          <w:kern w:val="24"/>
          <w:sz w:val="20"/>
          <w:szCs w:val="20"/>
          <w:lang w:val="en-GB"/>
        </w:rPr>
        <w:t>)</w:t>
      </w:r>
    </w:p>
    <w:p w14:paraId="301F63D9" w14:textId="7CF48CCA" w:rsidR="00410C8A" w:rsidRPr="006E19A0" w:rsidRDefault="00410C8A" w:rsidP="00410C8A">
      <w:pPr>
        <w:jc w:val="center"/>
        <w:rPr>
          <w:rFonts w:ascii="Times New Roman" w:hAnsi="Times New Roman" w:cs="Times New Roman"/>
          <w:b/>
          <w:bCs/>
          <w:sz w:val="20"/>
          <w:szCs w:val="20"/>
          <w:lang w:val="en-GB"/>
        </w:rPr>
      </w:pPr>
    </w:p>
    <w:p w14:paraId="3DD1AE7A" w14:textId="77777777" w:rsidR="00410C8A" w:rsidRPr="00410C8A" w:rsidRDefault="00410C8A">
      <w:pPr>
        <w:rPr>
          <w:rFonts w:ascii="Times New Roman" w:eastAsia="Arial Unicode MS" w:hAnsi="Times New Roman" w:cs="Times New Roman"/>
          <w:b/>
          <w:bCs/>
          <w:kern w:val="24"/>
          <w:sz w:val="24"/>
          <w:szCs w:val="24"/>
          <w:lang w:val="en-GB"/>
        </w:rPr>
      </w:pPr>
      <w:bookmarkStart w:id="0" w:name="_GoBack"/>
      <w:bookmarkEnd w:id="0"/>
    </w:p>
    <w:p w14:paraId="147452F5" w14:textId="7CA883A2" w:rsidR="00342599" w:rsidRPr="006E19A0" w:rsidRDefault="00B5554B" w:rsidP="00702AD9">
      <w:pPr>
        <w:spacing w:after="120" w:line="360" w:lineRule="auto"/>
        <w:jc w:val="center"/>
        <w:rPr>
          <w:rFonts w:ascii="Times New Roman" w:eastAsia="Arial Unicode MS" w:hAnsi="Times New Roman" w:cs="Times New Roman"/>
          <w:b/>
          <w:bCs/>
          <w:kern w:val="24"/>
          <w:sz w:val="20"/>
          <w:szCs w:val="20"/>
          <w:lang w:val="en-GB"/>
        </w:rPr>
      </w:pPr>
      <w:r w:rsidRPr="006E19A0">
        <w:rPr>
          <w:rFonts w:ascii="Times New Roman" w:eastAsia="Arial Unicode MS" w:hAnsi="Times New Roman" w:cs="Times New Roman"/>
          <w:b/>
          <w:bCs/>
          <w:kern w:val="24"/>
          <w:sz w:val="20"/>
          <w:szCs w:val="20"/>
          <w:lang w:val="en-GB"/>
        </w:rPr>
        <w:t>Abstract</w:t>
      </w:r>
    </w:p>
    <w:p w14:paraId="346C3825" w14:textId="2244C0AD" w:rsidR="00C34BC4" w:rsidRPr="006E19A0" w:rsidRDefault="00C34BC4" w:rsidP="00702AD9">
      <w:pPr>
        <w:widowControl w:val="0"/>
        <w:spacing w:after="120" w:line="360" w:lineRule="auto"/>
        <w:jc w:val="both"/>
        <w:rPr>
          <w:rFonts w:ascii="Times New Roman" w:hAnsi="Times New Roman" w:cs="Times New Roman"/>
          <w:b/>
          <w:sz w:val="20"/>
          <w:szCs w:val="20"/>
        </w:rPr>
      </w:pPr>
      <w:r w:rsidRPr="006E19A0">
        <w:rPr>
          <w:rFonts w:ascii="Times New Roman" w:eastAsia="Arial Unicode MS" w:hAnsi="Times New Roman" w:cs="Times New Roman"/>
          <w:kern w:val="24"/>
          <w:sz w:val="20"/>
          <w:szCs w:val="20"/>
          <w:lang w:val="en-GB"/>
        </w:rPr>
        <w:t>Si</w:t>
      </w:r>
      <w:r w:rsidR="00702AD9" w:rsidRPr="006E19A0">
        <w:rPr>
          <w:rFonts w:ascii="Times New Roman" w:eastAsia="Arial Unicode MS" w:hAnsi="Times New Roman" w:cs="Times New Roman"/>
          <w:kern w:val="24"/>
          <w:sz w:val="20"/>
          <w:szCs w:val="20"/>
          <w:lang w:val="en-GB"/>
        </w:rPr>
        <w:t>x</w:t>
      </w:r>
      <w:r w:rsidRPr="006E19A0">
        <w:rPr>
          <w:rFonts w:ascii="Times New Roman" w:eastAsia="Arial Unicode MS" w:hAnsi="Times New Roman" w:cs="Times New Roman"/>
          <w:kern w:val="24"/>
          <w:sz w:val="20"/>
          <w:szCs w:val="20"/>
          <w:lang w:val="en-GB"/>
        </w:rPr>
        <w:t xml:space="preserve"> hundred and thirty (630) </w:t>
      </w:r>
      <w:r w:rsidRPr="006E19A0">
        <w:rPr>
          <w:rFonts w:ascii="Times New Roman" w:eastAsia="Arial Unicode MS" w:hAnsi="Times New Roman" w:cs="Times New Roman"/>
          <w:sz w:val="20"/>
          <w:szCs w:val="20"/>
        </w:rPr>
        <w:t>healthy sample</w:t>
      </w:r>
      <w:r w:rsidR="004D4747">
        <w:rPr>
          <w:rFonts w:ascii="Times New Roman" w:eastAsia="Arial Unicode MS" w:hAnsi="Times New Roman" w:cs="Times New Roman"/>
          <w:sz w:val="20"/>
          <w:szCs w:val="20"/>
          <w:lang w:val="en-GB"/>
        </w:rPr>
        <w:t>s</w:t>
      </w:r>
      <w:r w:rsidRPr="006E19A0">
        <w:rPr>
          <w:rFonts w:ascii="Times New Roman" w:eastAsia="Arial Unicode MS" w:hAnsi="Times New Roman" w:cs="Times New Roman"/>
          <w:sz w:val="20"/>
          <w:szCs w:val="20"/>
        </w:rPr>
        <w:t xml:space="preserve"> of adult </w:t>
      </w:r>
      <w:r w:rsidRPr="006E19A0">
        <w:rPr>
          <w:rFonts w:ascii="Times New Roman" w:eastAsia="Arial Unicode MS" w:hAnsi="Times New Roman" w:cs="Times New Roman"/>
          <w:i/>
          <w:iCs/>
          <w:sz w:val="20"/>
          <w:szCs w:val="20"/>
        </w:rPr>
        <w:t>Uca tangeri</w:t>
      </w:r>
      <w:r w:rsidRPr="006E19A0">
        <w:rPr>
          <w:rFonts w:ascii="Times New Roman" w:eastAsia="Arial Unicode MS" w:hAnsi="Times New Roman" w:cs="Times New Roman"/>
          <w:sz w:val="20"/>
          <w:szCs w:val="20"/>
        </w:rPr>
        <w:t xml:space="preserve"> were obtained fro</w:t>
      </w:r>
      <w:r w:rsidRPr="006E19A0">
        <w:rPr>
          <w:rFonts w:ascii="Times New Roman" w:eastAsia="Arial Unicode MS" w:hAnsi="Times New Roman" w:cs="Times New Roman"/>
          <w:sz w:val="20"/>
          <w:szCs w:val="20"/>
          <w:lang w:val="en-GB"/>
        </w:rPr>
        <w:t>m</w:t>
      </w:r>
      <w:r w:rsidRPr="006E19A0">
        <w:rPr>
          <w:rFonts w:ascii="Times New Roman" w:eastAsia="Arial Unicode MS" w:hAnsi="Times New Roman" w:cs="Times New Roman"/>
          <w:sz w:val="20"/>
          <w:szCs w:val="20"/>
        </w:rPr>
        <w:t xml:space="preserve"> Chicoco mud in the oil- prone Buguma creek,</w:t>
      </w:r>
      <w:r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Rivers State, Nigeria by handpicking and were transported to the laboratory in plastic containers where acclimation was done for 48hours prior to analysis. The crabs were divided into six groups in a randomized complete block design and monitored for 28 days. The test organisms were treated to different concentrations of</w:t>
      </w:r>
      <w:r w:rsidRPr="006E19A0">
        <w:rPr>
          <w:rFonts w:ascii="Times New Roman" w:eastAsia="Arial Unicode MS" w:hAnsi="Times New Roman" w:cs="Times New Roman"/>
          <w:sz w:val="20"/>
          <w:szCs w:val="20"/>
          <w:lang w:val="en-GB"/>
        </w:rPr>
        <w:t xml:space="preserve"> the water-soluble fraction (WSF) of Bonny Light crude oil. The WSF </w:t>
      </w:r>
      <w:r w:rsidRPr="006E19A0">
        <w:rPr>
          <w:rFonts w:ascii="Times New Roman" w:hAnsi="Times New Roman" w:cs="Times New Roman"/>
          <w:sz w:val="20"/>
          <w:szCs w:val="20"/>
          <w:lang w:val="en-GB"/>
        </w:rPr>
        <w:t xml:space="preserve">caused marked exposure risk to the littoral organism, </w:t>
      </w:r>
      <w:r w:rsidR="004D4747">
        <w:rPr>
          <w:rFonts w:ascii="Times New Roman" w:hAnsi="Times New Roman" w:cs="Times New Roman"/>
          <w:sz w:val="20"/>
          <w:szCs w:val="20"/>
          <w:lang w:val="en-GB"/>
        </w:rPr>
        <w:t>(</w:t>
      </w:r>
      <w:r w:rsidRPr="006E19A0">
        <w:rPr>
          <w:rFonts w:ascii="Times New Roman" w:hAnsi="Times New Roman" w:cs="Times New Roman"/>
          <w:i/>
          <w:iCs/>
          <w:sz w:val="20"/>
          <w:szCs w:val="20"/>
        </w:rPr>
        <w:t>U</w:t>
      </w:r>
      <w:r w:rsidR="004D4747">
        <w:rPr>
          <w:rFonts w:ascii="Times New Roman" w:hAnsi="Times New Roman" w:cs="Times New Roman"/>
          <w:i/>
          <w:iCs/>
          <w:sz w:val="20"/>
          <w:szCs w:val="20"/>
          <w:lang w:val="en-GB"/>
        </w:rPr>
        <w:t>.</w:t>
      </w:r>
      <w:r w:rsidRPr="006E19A0">
        <w:rPr>
          <w:rFonts w:ascii="Times New Roman" w:hAnsi="Times New Roman" w:cs="Times New Roman"/>
          <w:i/>
          <w:iCs/>
          <w:sz w:val="20"/>
          <w:szCs w:val="20"/>
        </w:rPr>
        <w:t xml:space="preserve"> tangeri</w:t>
      </w:r>
      <w:r w:rsidR="004D4747">
        <w:rPr>
          <w:rFonts w:ascii="Times New Roman" w:hAnsi="Times New Roman" w:cs="Times New Roman"/>
          <w:sz w:val="20"/>
          <w:szCs w:val="20"/>
          <w:lang w:val="en-GB"/>
        </w:rPr>
        <w:t xml:space="preserve">), and </w:t>
      </w:r>
      <w:r w:rsidRPr="006E19A0">
        <w:rPr>
          <w:rFonts w:ascii="Times New Roman" w:hAnsi="Times New Roman" w:cs="Times New Roman"/>
          <w:sz w:val="20"/>
          <w:szCs w:val="20"/>
          <w:lang w:val="en-GB"/>
        </w:rPr>
        <w:t xml:space="preserve">was observed to have elicited a concentration-dependent mortality on the test organism. </w:t>
      </w:r>
      <w:r w:rsidRPr="006E19A0">
        <w:rPr>
          <w:rFonts w:ascii="Times New Roman" w:hAnsi="Times New Roman" w:cs="Times New Roman"/>
          <w:sz w:val="20"/>
          <w:szCs w:val="20"/>
        </w:rPr>
        <w:t xml:space="preserve">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Pr="006E19A0">
        <w:rPr>
          <w:rFonts w:ascii="Times New Roman" w:hAnsi="Times New Roman" w:cs="Times New Roman"/>
          <w:i/>
          <w:iCs/>
          <w:sz w:val="20"/>
          <w:szCs w:val="20"/>
        </w:rPr>
        <w:t>U</w:t>
      </w:r>
      <w:r w:rsidR="004D4747">
        <w:rPr>
          <w:rFonts w:ascii="Times New Roman" w:hAnsi="Times New Roman" w:cs="Times New Roman"/>
          <w:i/>
          <w:iCs/>
          <w:sz w:val="20"/>
          <w:szCs w:val="20"/>
          <w:lang w:val="en-GB"/>
        </w:rPr>
        <w:t>.</w:t>
      </w:r>
      <w:r w:rsidRPr="006E19A0">
        <w:rPr>
          <w:rFonts w:ascii="Times New Roman" w:hAnsi="Times New Roman" w:cs="Times New Roman"/>
          <w:i/>
          <w:iCs/>
          <w:sz w:val="20"/>
          <w:szCs w:val="20"/>
        </w:rPr>
        <w:t xml:space="preserve"> tangeri</w:t>
      </w:r>
      <w:r w:rsidRPr="006E19A0">
        <w:rPr>
          <w:rFonts w:ascii="Times New Roman" w:hAnsi="Times New Roman" w:cs="Times New Roman"/>
          <w:sz w:val="20"/>
          <w:szCs w:val="20"/>
          <w:lang w:val="en-GB"/>
        </w:rPr>
        <w:t xml:space="preserve">. The toxicity of the WSF points to the base constituents of the test compound as seen in the altered </w:t>
      </w:r>
      <w:proofErr w:type="spellStart"/>
      <w:r w:rsidRPr="006E19A0">
        <w:rPr>
          <w:rFonts w:ascii="Times New Roman" w:hAnsi="Times New Roman" w:cs="Times New Roman"/>
          <w:sz w:val="20"/>
          <w:szCs w:val="20"/>
          <w:lang w:val="en-GB"/>
        </w:rPr>
        <w:t>physico</w:t>
      </w:r>
      <w:proofErr w:type="spellEnd"/>
      <w:r w:rsidRPr="006E19A0">
        <w:rPr>
          <w:rFonts w:ascii="Times New Roman" w:hAnsi="Times New Roman" w:cs="Times New Roman"/>
          <w:sz w:val="20"/>
          <w:szCs w:val="20"/>
          <w:lang w:val="en-GB"/>
        </w:rPr>
        <w:t>-chemistry of the organism’s simulated habitat. In the event of any spill affecting th</w:t>
      </w:r>
      <w:r w:rsidR="004D4747">
        <w:rPr>
          <w:rFonts w:ascii="Times New Roman" w:hAnsi="Times New Roman" w:cs="Times New Roman"/>
          <w:sz w:val="20"/>
          <w:szCs w:val="20"/>
          <w:lang w:val="en-GB"/>
        </w:rPr>
        <w:t>e</w:t>
      </w:r>
      <w:r w:rsidRPr="006E19A0">
        <w:rPr>
          <w:rFonts w:ascii="Times New Roman" w:hAnsi="Times New Roman" w:cs="Times New Roman"/>
          <w:sz w:val="20"/>
          <w:szCs w:val="20"/>
          <w:lang w:val="en-GB"/>
        </w:rPr>
        <w:t xml:space="preserve"> littoral ecosystem, e</w:t>
      </w:r>
      <w:proofErr w:type="spellStart"/>
      <w:r w:rsidRPr="006E19A0">
        <w:rPr>
          <w:rFonts w:ascii="Times New Roman" w:hAnsi="Times New Roman" w:cs="Times New Roman"/>
          <w:sz w:val="20"/>
          <w:szCs w:val="20"/>
        </w:rPr>
        <w:t>xpedient</w:t>
      </w:r>
      <w:proofErr w:type="spellEnd"/>
      <w:r w:rsidRPr="006E19A0">
        <w:rPr>
          <w:rFonts w:ascii="Times New Roman" w:hAnsi="Times New Roman" w:cs="Times New Roman"/>
          <w:sz w:val="20"/>
          <w:szCs w:val="20"/>
        </w:rPr>
        <w:t xml:space="preserve"> reclamation and contingencies are recommended to avoid acute lethality of such organisms</w:t>
      </w:r>
      <w:r w:rsidR="00702AD9" w:rsidRPr="006E19A0">
        <w:rPr>
          <w:rFonts w:ascii="Times New Roman" w:hAnsi="Times New Roman" w:cs="Times New Roman"/>
          <w:sz w:val="20"/>
          <w:szCs w:val="20"/>
        </w:rPr>
        <w:t xml:space="preserve">. This would also </w:t>
      </w:r>
      <w:r w:rsidRPr="006E19A0">
        <w:rPr>
          <w:rFonts w:ascii="Times New Roman" w:hAnsi="Times New Roman" w:cs="Times New Roman"/>
          <w:sz w:val="20"/>
          <w:szCs w:val="20"/>
        </w:rPr>
        <w:t>prevent bioaccumulation of serious hazards in the human food chain.</w:t>
      </w:r>
    </w:p>
    <w:p w14:paraId="6ADE9F12" w14:textId="77777777" w:rsidR="00702AD9" w:rsidRPr="006E19A0" w:rsidRDefault="00702AD9" w:rsidP="00702AD9">
      <w:pPr>
        <w:spacing w:after="120" w:line="360" w:lineRule="auto"/>
        <w:jc w:val="both"/>
        <w:rPr>
          <w:rFonts w:ascii="Times New Roman" w:hAnsi="Times New Roman" w:cs="Times New Roman"/>
          <w:b/>
          <w:bCs/>
          <w:sz w:val="20"/>
          <w:szCs w:val="20"/>
          <w:lang w:val="en-GB"/>
        </w:rPr>
      </w:pPr>
    </w:p>
    <w:p w14:paraId="67CED4C3" w14:textId="471549B0" w:rsidR="00B5554B" w:rsidRPr="006E19A0" w:rsidRDefault="00702AD9" w:rsidP="006E19A0">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b/>
          <w:bCs/>
          <w:sz w:val="20"/>
          <w:szCs w:val="20"/>
          <w:lang w:val="en-GB"/>
        </w:rPr>
        <w:t>Keywords</w:t>
      </w:r>
      <w:r w:rsidRPr="006E19A0">
        <w:rPr>
          <w:rFonts w:ascii="Times New Roman" w:hAnsi="Times New Roman" w:cs="Times New Roman"/>
          <w:sz w:val="20"/>
          <w:szCs w:val="20"/>
          <w:lang w:val="en-GB"/>
        </w:rPr>
        <w:t xml:space="preserve">: Water soluble </w:t>
      </w:r>
      <w:proofErr w:type="spellStart"/>
      <w:r w:rsidRPr="006E19A0">
        <w:rPr>
          <w:rFonts w:ascii="Times New Roman" w:hAnsi="Times New Roman" w:cs="Times New Roman"/>
          <w:sz w:val="20"/>
          <w:szCs w:val="20"/>
          <w:lang w:val="en-GB"/>
        </w:rPr>
        <w:t>fractio</w:t>
      </w:r>
      <w:proofErr w:type="spellEnd"/>
      <w:r w:rsidRPr="006E19A0">
        <w:rPr>
          <w:rFonts w:ascii="Times New Roman" w:hAnsi="Times New Roman" w:cs="Times New Roman"/>
          <w:sz w:val="20"/>
          <w:szCs w:val="20"/>
          <w:lang w:val="en-GB"/>
        </w:rPr>
        <w:t xml:space="preserve"> (WSF); Bonny Light; Crude oil; Mortality. Lethal concentration</w:t>
      </w:r>
    </w:p>
    <w:p w14:paraId="6FAA447B" w14:textId="77777777" w:rsidR="00342599" w:rsidRPr="006E19A0" w:rsidRDefault="00342599" w:rsidP="00702AD9">
      <w:pPr>
        <w:spacing w:after="120" w:line="360" w:lineRule="auto"/>
        <w:rPr>
          <w:rFonts w:ascii="Times New Roman" w:eastAsia="Arial Unicode MS" w:hAnsi="Times New Roman" w:cs="Times New Roman"/>
          <w:b/>
          <w:bCs/>
          <w:kern w:val="24"/>
          <w:sz w:val="20"/>
          <w:szCs w:val="20"/>
          <w:lang w:val="en-GB"/>
        </w:rPr>
      </w:pPr>
    </w:p>
    <w:p w14:paraId="11F42F80" w14:textId="3070FB0A" w:rsidR="009C395E" w:rsidRPr="006E19A0" w:rsidRDefault="00702AD9" w:rsidP="00702AD9">
      <w:pPr>
        <w:spacing w:after="120" w:line="360" w:lineRule="auto"/>
        <w:rPr>
          <w:rFonts w:ascii="Times New Roman" w:eastAsia="Arial Unicode MS" w:hAnsi="Times New Roman" w:cs="Times New Roman"/>
          <w:b/>
          <w:bCs/>
          <w:kern w:val="24"/>
          <w:sz w:val="20"/>
          <w:szCs w:val="20"/>
          <w:lang w:val="en-GB"/>
        </w:rPr>
      </w:pPr>
      <w:r w:rsidRPr="006E19A0">
        <w:rPr>
          <w:rFonts w:ascii="Times New Roman" w:eastAsia="Arial Unicode MS" w:hAnsi="Times New Roman" w:cs="Times New Roman"/>
          <w:b/>
          <w:bCs/>
          <w:kern w:val="24"/>
          <w:sz w:val="20"/>
          <w:szCs w:val="20"/>
          <w:lang w:val="en-GB"/>
        </w:rPr>
        <w:t xml:space="preserve">1.0 </w:t>
      </w:r>
      <w:r w:rsidR="009C395E" w:rsidRPr="006E19A0">
        <w:rPr>
          <w:rFonts w:ascii="Times New Roman" w:eastAsia="Arial Unicode MS" w:hAnsi="Times New Roman" w:cs="Times New Roman"/>
          <w:b/>
          <w:bCs/>
          <w:kern w:val="24"/>
          <w:sz w:val="20"/>
          <w:szCs w:val="20"/>
          <w:lang w:val="en-GB"/>
        </w:rPr>
        <w:t>Introduction</w:t>
      </w:r>
    </w:p>
    <w:p w14:paraId="22B29FD2" w14:textId="011C3F40" w:rsidR="009C395E" w:rsidRPr="006E19A0" w:rsidRDefault="00E97320" w:rsidP="00702AD9">
      <w:pPr>
        <w:spacing w:after="120" w:line="360" w:lineRule="auto"/>
        <w:jc w:val="both"/>
        <w:rPr>
          <w:rFonts w:ascii="Times New Roman" w:eastAsia="Arial Unicode MS" w:hAnsi="Times New Roman" w:cs="Times New Roman"/>
          <w:kern w:val="24"/>
          <w:sz w:val="20"/>
          <w:szCs w:val="20"/>
          <w:lang w:val="en-GB"/>
        </w:rPr>
      </w:pPr>
      <w:r w:rsidRPr="006E19A0">
        <w:rPr>
          <w:rFonts w:ascii="Times New Roman" w:hAnsi="Times New Roman" w:cs="Times New Roman"/>
          <w:sz w:val="20"/>
          <w:szCs w:val="20"/>
        </w:rPr>
        <w:t>Acute toxicity describes the adverse effects of a substance that result either from a single exposure or from multiple exposures in a short period of time (usually less than 24 hours).  To be described as acute toxicity, the adverse effects should occur within 14 days of the administration of the substance</w:t>
      </w:r>
      <w:r w:rsidRPr="006E19A0">
        <w:rPr>
          <w:rFonts w:ascii="Times New Roman" w:hAnsi="Times New Roman" w:cs="Times New Roman"/>
          <w:sz w:val="20"/>
          <w:szCs w:val="20"/>
          <w:lang w:val="en-GB"/>
        </w:rPr>
        <w:t xml:space="preserve">. </w:t>
      </w:r>
      <w:r w:rsidR="009C395E" w:rsidRPr="006E19A0">
        <w:rPr>
          <w:rFonts w:ascii="Times New Roman" w:eastAsia="Arial Unicode MS" w:hAnsi="Times New Roman" w:cs="Times New Roman"/>
          <w:kern w:val="24"/>
          <w:sz w:val="20"/>
          <w:szCs w:val="20"/>
          <w:lang w:val="en-GB"/>
        </w:rPr>
        <w:t>Acute toxicity tests prov</w:t>
      </w:r>
      <w:r w:rsidRPr="006E19A0">
        <w:rPr>
          <w:rFonts w:ascii="Times New Roman" w:eastAsia="Arial Unicode MS" w:hAnsi="Times New Roman" w:cs="Times New Roman"/>
          <w:kern w:val="24"/>
          <w:sz w:val="20"/>
          <w:szCs w:val="20"/>
          <w:lang w:val="en-GB"/>
        </w:rPr>
        <w:t>i</w:t>
      </w:r>
      <w:r w:rsidR="009C395E" w:rsidRPr="006E19A0">
        <w:rPr>
          <w:rFonts w:ascii="Times New Roman" w:eastAsia="Arial Unicode MS" w:hAnsi="Times New Roman" w:cs="Times New Roman"/>
          <w:kern w:val="24"/>
          <w:sz w:val="20"/>
          <w:szCs w:val="20"/>
          <w:lang w:val="en-GB"/>
        </w:rPr>
        <w:t>de indices for the prediction of harm on the ecosystem. Through such tests, responses</w:t>
      </w:r>
      <w:r w:rsidRPr="006E19A0">
        <w:rPr>
          <w:rFonts w:ascii="Times New Roman" w:eastAsia="Arial Unicode MS" w:hAnsi="Times New Roman" w:cs="Times New Roman"/>
          <w:kern w:val="24"/>
          <w:sz w:val="20"/>
          <w:szCs w:val="20"/>
          <w:lang w:val="en-GB"/>
        </w:rPr>
        <w:t>, usually “all or none” responses</w:t>
      </w:r>
      <w:r w:rsidR="005A12E3" w:rsidRPr="006E19A0">
        <w:rPr>
          <w:rFonts w:ascii="Times New Roman" w:eastAsia="Arial Unicode MS" w:hAnsi="Times New Roman" w:cs="Times New Roman"/>
          <w:kern w:val="24"/>
          <w:sz w:val="20"/>
          <w:szCs w:val="20"/>
          <w:lang w:val="en-GB"/>
        </w:rPr>
        <w:t>,</w:t>
      </w:r>
      <w:r w:rsidR="009C395E" w:rsidRPr="006E19A0">
        <w:rPr>
          <w:rFonts w:ascii="Times New Roman" w:eastAsia="Arial Unicode MS" w:hAnsi="Times New Roman" w:cs="Times New Roman"/>
          <w:kern w:val="24"/>
          <w:sz w:val="20"/>
          <w:szCs w:val="20"/>
          <w:lang w:val="en-GB"/>
        </w:rPr>
        <w:t xml:space="preserve"> such as mortality or paralysis are known and </w:t>
      </w:r>
      <w:r w:rsidR="005A12E3" w:rsidRPr="006E19A0">
        <w:rPr>
          <w:rFonts w:ascii="Times New Roman" w:eastAsia="Arial Unicode MS" w:hAnsi="Times New Roman" w:cs="Times New Roman"/>
          <w:kern w:val="24"/>
          <w:sz w:val="20"/>
          <w:szCs w:val="20"/>
          <w:lang w:val="en-GB"/>
        </w:rPr>
        <w:t xml:space="preserve">are used </w:t>
      </w:r>
      <w:r w:rsidR="005A12E3" w:rsidRPr="006E19A0">
        <w:rPr>
          <w:rFonts w:ascii="Times New Roman" w:hAnsi="Times New Roman" w:cs="Times New Roman"/>
          <w:color w:val="1F1F1F"/>
          <w:sz w:val="20"/>
          <w:szCs w:val="20"/>
        </w:rPr>
        <w:t>for the development of appropriate precautionary statements and hazard symbols</w:t>
      </w:r>
      <w:r w:rsidR="005A12E3" w:rsidRPr="006E19A0">
        <w:rPr>
          <w:rFonts w:ascii="Times New Roman" w:eastAsia="Arial Unicode MS" w:hAnsi="Times New Roman" w:cs="Times New Roman"/>
          <w:kern w:val="24"/>
          <w:sz w:val="20"/>
          <w:szCs w:val="20"/>
          <w:lang w:val="en-GB"/>
        </w:rPr>
        <w:t xml:space="preserve"> that play major roles in contingency</w:t>
      </w:r>
      <w:r w:rsidR="009C395E" w:rsidRPr="006E19A0">
        <w:rPr>
          <w:rFonts w:ascii="Times New Roman" w:eastAsia="Arial Unicode MS" w:hAnsi="Times New Roman" w:cs="Times New Roman"/>
          <w:kern w:val="24"/>
          <w:sz w:val="20"/>
          <w:szCs w:val="20"/>
          <w:lang w:val="en-GB"/>
        </w:rPr>
        <w:t xml:space="preserve"> management</w:t>
      </w:r>
      <w:r w:rsidR="005A12E3" w:rsidRPr="006E19A0">
        <w:rPr>
          <w:rFonts w:ascii="Times New Roman" w:eastAsia="Arial Unicode MS" w:hAnsi="Times New Roman" w:cs="Times New Roman"/>
          <w:kern w:val="24"/>
          <w:sz w:val="20"/>
          <w:szCs w:val="20"/>
          <w:lang w:val="en-GB"/>
        </w:rPr>
        <w:t xml:space="preserve"> </w:t>
      </w:r>
      <w:r w:rsidR="009C395E" w:rsidRPr="006E19A0">
        <w:rPr>
          <w:rFonts w:ascii="Times New Roman" w:eastAsia="Arial Unicode MS" w:hAnsi="Times New Roman" w:cs="Times New Roman"/>
          <w:kern w:val="24"/>
          <w:sz w:val="20"/>
          <w:szCs w:val="20"/>
          <w:lang w:val="en-GB"/>
        </w:rPr>
        <w:t xml:space="preserve">of </w:t>
      </w:r>
      <w:r w:rsidRPr="006E19A0">
        <w:rPr>
          <w:rFonts w:ascii="Times New Roman" w:eastAsia="Arial Unicode MS" w:hAnsi="Times New Roman" w:cs="Times New Roman"/>
          <w:kern w:val="24"/>
          <w:sz w:val="20"/>
          <w:szCs w:val="20"/>
          <w:lang w:val="en-GB"/>
        </w:rPr>
        <w:t xml:space="preserve">the impact of </w:t>
      </w:r>
      <w:r w:rsidR="00702AD9" w:rsidRPr="006E19A0">
        <w:rPr>
          <w:rFonts w:ascii="Times New Roman" w:eastAsia="Arial Unicode MS" w:hAnsi="Times New Roman" w:cs="Times New Roman"/>
          <w:kern w:val="24"/>
          <w:sz w:val="20"/>
          <w:szCs w:val="20"/>
          <w:lang w:val="en-GB"/>
        </w:rPr>
        <w:t>the potential</w:t>
      </w:r>
      <w:r w:rsidRPr="006E19A0">
        <w:rPr>
          <w:rFonts w:ascii="Times New Roman" w:eastAsia="Arial Unicode MS" w:hAnsi="Times New Roman" w:cs="Times New Roman"/>
          <w:kern w:val="24"/>
          <w:sz w:val="20"/>
          <w:szCs w:val="20"/>
          <w:lang w:val="en-GB"/>
        </w:rPr>
        <w:t xml:space="preserve"> </w:t>
      </w:r>
      <w:r w:rsidR="005A12E3" w:rsidRPr="006E19A0">
        <w:rPr>
          <w:rFonts w:ascii="Times New Roman" w:eastAsia="Arial Unicode MS" w:hAnsi="Times New Roman" w:cs="Times New Roman"/>
          <w:kern w:val="24"/>
          <w:sz w:val="20"/>
          <w:szCs w:val="20"/>
          <w:lang w:val="en-GB"/>
        </w:rPr>
        <w:t xml:space="preserve">toxicant. In this case, the test toxicant is crude oil, a complex mixture of </w:t>
      </w:r>
      <w:r w:rsidR="00702AD9" w:rsidRPr="006E19A0">
        <w:rPr>
          <w:rFonts w:ascii="Times New Roman" w:eastAsia="Arial Unicode MS" w:hAnsi="Times New Roman" w:cs="Times New Roman"/>
          <w:kern w:val="24"/>
          <w:sz w:val="20"/>
          <w:szCs w:val="20"/>
          <w:lang w:val="en-GB"/>
        </w:rPr>
        <w:t>hydrocarbon</w:t>
      </w:r>
      <w:r w:rsidR="005A12E3" w:rsidRPr="006E19A0">
        <w:rPr>
          <w:rFonts w:ascii="Times New Roman" w:eastAsia="Arial Unicode MS" w:hAnsi="Times New Roman" w:cs="Times New Roman"/>
          <w:kern w:val="24"/>
          <w:sz w:val="20"/>
          <w:szCs w:val="20"/>
          <w:lang w:val="en-GB"/>
        </w:rPr>
        <w:t xml:space="preserve"> and non-hydrocarbon compounds. </w:t>
      </w:r>
      <w:r w:rsidR="00BC22F7" w:rsidRPr="006E19A0">
        <w:rPr>
          <w:rFonts w:ascii="Times New Roman" w:eastAsia="Arial Unicode MS" w:hAnsi="Times New Roman" w:cs="Times New Roman"/>
          <w:kern w:val="24"/>
          <w:sz w:val="20"/>
          <w:szCs w:val="20"/>
          <w:lang w:val="en-GB"/>
        </w:rPr>
        <w:t xml:space="preserve">The aromatic hydrocarbon </w:t>
      </w:r>
      <w:r w:rsidR="00702AD9" w:rsidRPr="006E19A0">
        <w:rPr>
          <w:rFonts w:ascii="Times New Roman" w:eastAsia="Arial Unicode MS" w:hAnsi="Times New Roman" w:cs="Times New Roman"/>
          <w:kern w:val="24"/>
          <w:sz w:val="20"/>
          <w:szCs w:val="20"/>
          <w:lang w:val="en-GB"/>
        </w:rPr>
        <w:t>constituents</w:t>
      </w:r>
      <w:r w:rsidR="00BC22F7" w:rsidRPr="006E19A0">
        <w:rPr>
          <w:rFonts w:ascii="Times New Roman" w:eastAsia="Arial Unicode MS" w:hAnsi="Times New Roman" w:cs="Times New Roman"/>
          <w:kern w:val="24"/>
          <w:sz w:val="20"/>
          <w:szCs w:val="20"/>
          <w:lang w:val="en-GB"/>
        </w:rPr>
        <w:t xml:space="preserve"> of the crude oil </w:t>
      </w:r>
      <w:proofErr w:type="gramStart"/>
      <w:r w:rsidR="00BC22F7" w:rsidRPr="006E19A0">
        <w:rPr>
          <w:rFonts w:ascii="Times New Roman" w:eastAsia="Arial Unicode MS" w:hAnsi="Times New Roman" w:cs="Times New Roman"/>
          <w:kern w:val="24"/>
          <w:sz w:val="20"/>
          <w:szCs w:val="20"/>
          <w:lang w:val="en-GB"/>
        </w:rPr>
        <w:t>consists</w:t>
      </w:r>
      <w:proofErr w:type="gramEnd"/>
      <w:r w:rsidR="00BC22F7" w:rsidRPr="006E19A0">
        <w:rPr>
          <w:rFonts w:ascii="Times New Roman" w:eastAsia="Arial Unicode MS" w:hAnsi="Times New Roman" w:cs="Times New Roman"/>
          <w:kern w:val="24"/>
          <w:sz w:val="20"/>
          <w:szCs w:val="20"/>
          <w:lang w:val="en-GB"/>
        </w:rPr>
        <w:t xml:space="preserve"> of the light molecular weight </w:t>
      </w:r>
      <w:r w:rsidR="00702AD9" w:rsidRPr="006E19A0">
        <w:rPr>
          <w:rFonts w:ascii="Times New Roman" w:eastAsia="Arial Unicode MS" w:hAnsi="Times New Roman" w:cs="Times New Roman"/>
          <w:kern w:val="24"/>
          <w:sz w:val="20"/>
          <w:szCs w:val="20"/>
          <w:lang w:val="en-GB"/>
        </w:rPr>
        <w:t>monoaromatics</w:t>
      </w:r>
      <w:r w:rsidR="00BC22F7" w:rsidRPr="006E19A0">
        <w:rPr>
          <w:rFonts w:ascii="Times New Roman" w:eastAsia="Arial Unicode MS" w:hAnsi="Times New Roman" w:cs="Times New Roman"/>
          <w:kern w:val="24"/>
          <w:sz w:val="20"/>
          <w:szCs w:val="20"/>
          <w:lang w:val="en-GB"/>
        </w:rPr>
        <w:t xml:space="preserve">, </w:t>
      </w:r>
      <w:r w:rsidR="00702AD9" w:rsidRPr="006E19A0">
        <w:rPr>
          <w:rFonts w:ascii="Times New Roman" w:eastAsia="Arial Unicode MS" w:hAnsi="Times New Roman" w:cs="Times New Roman"/>
          <w:kern w:val="24"/>
          <w:sz w:val="20"/>
          <w:szCs w:val="20"/>
          <w:lang w:val="en-GB"/>
        </w:rPr>
        <w:t>commonly</w:t>
      </w:r>
      <w:r w:rsidR="00BC22F7" w:rsidRPr="006E19A0">
        <w:rPr>
          <w:rFonts w:ascii="Times New Roman" w:eastAsia="Arial Unicode MS" w:hAnsi="Times New Roman" w:cs="Times New Roman"/>
          <w:kern w:val="24"/>
          <w:sz w:val="20"/>
          <w:szCs w:val="20"/>
          <w:lang w:val="en-GB"/>
        </w:rPr>
        <w:t xml:space="preserve"> known as the BTEX compounds (Benzene, Toluene, Ethyl benzene and xylene isomers). The other one is the polycyclic aromatic hydrocarbons</w:t>
      </w:r>
      <w:r w:rsidR="00AC6FC7" w:rsidRPr="006E19A0">
        <w:rPr>
          <w:rFonts w:ascii="Times New Roman" w:eastAsia="Arial Unicode MS" w:hAnsi="Times New Roman" w:cs="Times New Roman"/>
          <w:kern w:val="24"/>
          <w:sz w:val="20"/>
          <w:szCs w:val="20"/>
          <w:lang w:val="en-GB"/>
        </w:rPr>
        <w:t xml:space="preserve"> (PAHs)</w:t>
      </w:r>
      <w:r w:rsidR="00BC22F7" w:rsidRPr="006E19A0">
        <w:rPr>
          <w:rFonts w:ascii="Times New Roman" w:eastAsia="Arial Unicode MS" w:hAnsi="Times New Roman" w:cs="Times New Roman"/>
          <w:kern w:val="24"/>
          <w:sz w:val="20"/>
          <w:szCs w:val="20"/>
          <w:lang w:val="en-GB"/>
        </w:rPr>
        <w:t xml:space="preserve"> such as naphthalene, fluoranthene and benzopyrene. These compo</w:t>
      </w:r>
      <w:r w:rsidR="00AA427F" w:rsidRPr="006E19A0">
        <w:rPr>
          <w:rFonts w:ascii="Times New Roman" w:eastAsia="Arial Unicode MS" w:hAnsi="Times New Roman" w:cs="Times New Roman"/>
          <w:kern w:val="24"/>
          <w:sz w:val="20"/>
          <w:szCs w:val="20"/>
          <w:lang w:val="en-GB"/>
        </w:rPr>
        <w:t>u</w:t>
      </w:r>
      <w:r w:rsidR="00BC22F7" w:rsidRPr="006E19A0">
        <w:rPr>
          <w:rFonts w:ascii="Times New Roman" w:eastAsia="Arial Unicode MS" w:hAnsi="Times New Roman" w:cs="Times New Roman"/>
          <w:kern w:val="24"/>
          <w:sz w:val="20"/>
          <w:szCs w:val="20"/>
          <w:lang w:val="en-GB"/>
        </w:rPr>
        <w:t xml:space="preserve">nds are also light and heavy in their molecular composition. </w:t>
      </w:r>
    </w:p>
    <w:p w14:paraId="46CD8F85" w14:textId="4472E700" w:rsidR="00AC6FC7" w:rsidRPr="006E19A0" w:rsidRDefault="008B4E75"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rPr>
        <w:t xml:space="preserve">The water-soluble fraction (WSF) of crude oil is the solution of low molecular mass hydrocarbons naturally released from petroleum hydrocarbon mixtures in contact with water. </w:t>
      </w:r>
      <w:r w:rsidR="00BA25F2" w:rsidRPr="006E19A0">
        <w:rPr>
          <w:rFonts w:ascii="Times New Roman" w:hAnsi="Times New Roman" w:cs="Times New Roman"/>
          <w:sz w:val="20"/>
          <w:szCs w:val="20"/>
          <w:lang w:val="en-GB"/>
        </w:rPr>
        <w:t xml:space="preserve">It is </w:t>
      </w:r>
      <w:r w:rsidR="00BA25F2" w:rsidRPr="006E19A0">
        <w:rPr>
          <w:rFonts w:ascii="Times New Roman" w:hAnsi="Times New Roman" w:cs="Times New Roman"/>
          <w:sz w:val="20"/>
          <w:szCs w:val="20"/>
        </w:rPr>
        <w:t>is that fraction that goes into solution</w:t>
      </w:r>
      <w:r w:rsidR="00BA25F2" w:rsidRPr="006E19A0">
        <w:rPr>
          <w:rFonts w:ascii="Times New Roman" w:hAnsi="Times New Roman" w:cs="Times New Roman"/>
          <w:sz w:val="20"/>
          <w:szCs w:val="20"/>
          <w:lang w:val="en-GB"/>
        </w:rPr>
        <w:t xml:space="preserve"> </w:t>
      </w:r>
      <w:r w:rsidR="00BA25F2" w:rsidRPr="006E19A0">
        <w:rPr>
          <w:rFonts w:ascii="Times New Roman" w:hAnsi="Times New Roman" w:cs="Times New Roman"/>
          <w:sz w:val="20"/>
          <w:szCs w:val="20"/>
        </w:rPr>
        <w:t>during a long period of water-oil contact</w:t>
      </w:r>
      <w:r w:rsidR="00BA25F2" w:rsidRPr="006E19A0">
        <w:rPr>
          <w:rFonts w:ascii="Times New Roman" w:hAnsi="Times New Roman" w:cs="Times New Roman"/>
          <w:sz w:val="20"/>
          <w:szCs w:val="20"/>
          <w:lang w:val="en-GB"/>
        </w:rPr>
        <w:t xml:space="preserve"> (</w:t>
      </w:r>
      <w:proofErr w:type="spellStart"/>
      <w:r w:rsidR="00BA25F2" w:rsidRPr="006E19A0">
        <w:rPr>
          <w:rFonts w:ascii="Times New Roman" w:hAnsi="Times New Roman" w:cs="Times New Roman"/>
          <w:sz w:val="20"/>
          <w:szCs w:val="20"/>
          <w:lang w:val="en-GB"/>
        </w:rPr>
        <w:t>Edema</w:t>
      </w:r>
      <w:proofErr w:type="spellEnd"/>
      <w:r w:rsidR="00BA25F2" w:rsidRPr="006E19A0">
        <w:rPr>
          <w:rFonts w:ascii="Times New Roman" w:hAnsi="Times New Roman" w:cs="Times New Roman"/>
          <w:sz w:val="20"/>
          <w:szCs w:val="20"/>
          <w:lang w:val="en-GB"/>
        </w:rPr>
        <w:t>, 2010)</w:t>
      </w:r>
      <w:r w:rsidR="00BA25F2" w:rsidRPr="006E19A0">
        <w:rPr>
          <w:rFonts w:ascii="Times New Roman" w:hAnsi="Times New Roman" w:cs="Times New Roman"/>
          <w:sz w:val="20"/>
          <w:szCs w:val="20"/>
        </w:rPr>
        <w:t>.</w:t>
      </w:r>
      <w:r w:rsidR="00BA25F2"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Although generally regarded as hydrophobic, many petroleum hydrocarbons are soluble in water to a limited extent.</w:t>
      </w:r>
      <w:r w:rsidR="00AC6FC7" w:rsidRPr="006E19A0">
        <w:rPr>
          <w:rFonts w:ascii="Times New Roman" w:hAnsi="Times New Roman" w:cs="Times New Roman"/>
          <w:sz w:val="20"/>
          <w:szCs w:val="20"/>
          <w:lang w:val="en-GB"/>
        </w:rPr>
        <w:t xml:space="preserve"> </w:t>
      </w:r>
      <w:r w:rsidR="00AC6FC7" w:rsidRPr="006E19A0">
        <w:rPr>
          <w:rFonts w:ascii="Times New Roman" w:hAnsi="Times New Roman" w:cs="Times New Roman"/>
          <w:sz w:val="20"/>
          <w:szCs w:val="20"/>
        </w:rPr>
        <w:t>When there is a delay in clean up of oil</w:t>
      </w:r>
      <w:r w:rsidR="00AC6FC7" w:rsidRPr="006E19A0">
        <w:rPr>
          <w:rFonts w:ascii="Times New Roman" w:hAnsi="Times New Roman" w:cs="Times New Roman"/>
          <w:sz w:val="20"/>
          <w:szCs w:val="20"/>
          <w:lang w:val="en-GB"/>
        </w:rPr>
        <w:t xml:space="preserve"> </w:t>
      </w:r>
      <w:r w:rsidR="00AC6FC7" w:rsidRPr="006E19A0">
        <w:rPr>
          <w:rFonts w:ascii="Times New Roman" w:hAnsi="Times New Roman" w:cs="Times New Roman"/>
          <w:sz w:val="20"/>
          <w:szCs w:val="20"/>
        </w:rPr>
        <w:t xml:space="preserve">spillage, the water soluble components of crude oil and its refined products go into the spillage, the water soluble </w:t>
      </w:r>
      <w:r w:rsidR="00AC6FC7" w:rsidRPr="006E19A0">
        <w:rPr>
          <w:rFonts w:ascii="Times New Roman" w:hAnsi="Times New Roman" w:cs="Times New Roman"/>
          <w:sz w:val="20"/>
          <w:szCs w:val="20"/>
        </w:rPr>
        <w:lastRenderedPageBreak/>
        <w:t xml:space="preserve">components of crude oil and its refined products go into the solution in aquatic ecosystems (Edema 2009). The WSF is the remaining portion of oil complex than the oil itself. In terms of ecological effects of oil pollution, the amount of oil components dissolved in water is very important. Edema (2012) noted that it is the </w:t>
      </w:r>
      <w:r w:rsidR="00AC6FC7" w:rsidRPr="006E19A0">
        <w:rPr>
          <w:rFonts w:ascii="Times New Roman" w:hAnsi="Times New Roman" w:cs="Times New Roman"/>
          <w:sz w:val="20"/>
          <w:szCs w:val="20"/>
          <w:lang w:val="en-GB"/>
        </w:rPr>
        <w:t>d</w:t>
      </w:r>
      <w:r w:rsidR="00AC6FC7" w:rsidRPr="006E19A0">
        <w:rPr>
          <w:rFonts w:ascii="Times New Roman" w:hAnsi="Times New Roman" w:cs="Times New Roman"/>
          <w:sz w:val="20"/>
          <w:szCs w:val="20"/>
        </w:rPr>
        <w:t>issolved, rather than the emulsified or the adsorbed fraction of the oil that is toxic to aquatic flora and fauna. This is because the dissolved fraction is readily ingested by the</w:t>
      </w:r>
      <w:r w:rsidR="00AC6FC7" w:rsidRPr="006E19A0">
        <w:rPr>
          <w:rFonts w:ascii="Times New Roman" w:hAnsi="Times New Roman" w:cs="Times New Roman"/>
          <w:sz w:val="20"/>
          <w:szCs w:val="20"/>
          <w:lang w:val="en-GB"/>
        </w:rPr>
        <w:t>organisms at the lower end of the food chain.</w:t>
      </w:r>
    </w:p>
    <w:p w14:paraId="0A3DCE44" w14:textId="26ABE7C6" w:rsidR="00AC6FC7" w:rsidRPr="006E19A0" w:rsidRDefault="00AC6FC7"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color w:val="1F1F1F"/>
          <w:sz w:val="20"/>
          <w:szCs w:val="20"/>
        </w:rPr>
        <w:t xml:space="preserve">Solubilities </w:t>
      </w:r>
      <w:r w:rsidRPr="006E19A0">
        <w:rPr>
          <w:rFonts w:ascii="Times New Roman" w:hAnsi="Times New Roman" w:cs="Times New Roman"/>
          <w:color w:val="1F1F1F"/>
          <w:sz w:val="20"/>
          <w:szCs w:val="20"/>
          <w:lang w:val="en-GB"/>
        </w:rPr>
        <w:t>of different petroleum hydrocarbon fractions have been</w:t>
      </w:r>
      <w:r w:rsidRPr="006E19A0">
        <w:rPr>
          <w:rFonts w:ascii="Times New Roman" w:hAnsi="Times New Roman" w:cs="Times New Roman"/>
          <w:color w:val="1F1F1F"/>
          <w:sz w:val="20"/>
          <w:szCs w:val="20"/>
        </w:rPr>
        <w:t xml:space="preserve"> reported for 42 crude oil and petroleum products in water as a function of temperature, salinity, oil weathering and water-to-oil volume ratio.</w:t>
      </w:r>
      <w:r w:rsidRPr="006E19A0">
        <w:rPr>
          <w:rFonts w:ascii="Times New Roman" w:hAnsi="Times New Roman" w:cs="Times New Roman"/>
          <w:color w:val="1F1F1F"/>
          <w:sz w:val="20"/>
          <w:szCs w:val="20"/>
          <w:lang w:val="en-GB"/>
        </w:rPr>
        <w:t xml:space="preserve"> Studies have also shown</w:t>
      </w:r>
      <w:r w:rsidRPr="006E19A0">
        <w:rPr>
          <w:rFonts w:ascii="Times New Roman" w:hAnsi="Times New Roman" w:cs="Times New Roman"/>
          <w:color w:val="1F1F1F"/>
          <w:sz w:val="20"/>
          <w:szCs w:val="20"/>
        </w:rPr>
        <w:t xml:space="preserve"> that the dissolved fractions of PAHs are contaminants of most concern in terms of acute and chronic toxicity</w:t>
      </w:r>
      <w:r w:rsidRPr="006E19A0">
        <w:rPr>
          <w:rFonts w:ascii="Times New Roman" w:hAnsi="Times New Roman" w:cs="Times New Roman"/>
          <w:color w:val="1F1F1F"/>
          <w:sz w:val="20"/>
          <w:szCs w:val="20"/>
          <w:lang w:val="en-GB"/>
        </w:rPr>
        <w:t xml:space="preserve"> (Shiu et al 1990)</w:t>
      </w:r>
      <w:r w:rsidRPr="006E19A0">
        <w:rPr>
          <w:rFonts w:ascii="Times New Roman" w:hAnsi="Times New Roman" w:cs="Times New Roman"/>
          <w:sz w:val="20"/>
          <w:szCs w:val="20"/>
          <w:lang w:val="en-GB"/>
        </w:rPr>
        <w:t xml:space="preserve">. In a recent study conducted in </w:t>
      </w:r>
      <w:proofErr w:type="spellStart"/>
      <w:r w:rsidRPr="006E19A0">
        <w:rPr>
          <w:rFonts w:ascii="Times New Roman" w:hAnsi="Times New Roman" w:cs="Times New Roman"/>
          <w:sz w:val="20"/>
          <w:szCs w:val="20"/>
          <w:lang w:val="en-GB"/>
        </w:rPr>
        <w:t>Brazic</w:t>
      </w:r>
      <w:proofErr w:type="spellEnd"/>
      <w:r w:rsidRPr="006E19A0">
        <w:rPr>
          <w:rFonts w:ascii="Times New Roman" w:hAnsi="Times New Roman" w:cs="Times New Roman"/>
          <w:sz w:val="20"/>
          <w:szCs w:val="20"/>
          <w:lang w:val="en-GB"/>
        </w:rPr>
        <w:t xml:space="preserve">, </w:t>
      </w:r>
      <w:r w:rsidR="002E6D85" w:rsidRPr="006E19A0">
        <w:rPr>
          <w:rFonts w:ascii="Times New Roman" w:hAnsi="Times New Roman" w:cs="Times New Roman"/>
          <w:color w:val="222222"/>
          <w:sz w:val="20"/>
          <w:szCs w:val="20"/>
        </w:rPr>
        <w:t xml:space="preserve">de Santana </w:t>
      </w:r>
      <w:r w:rsidR="002E6D85" w:rsidRPr="006E19A0">
        <w:rPr>
          <w:rFonts w:ascii="Times New Roman" w:hAnsi="Times New Roman" w:cs="Times New Roman"/>
          <w:color w:val="222222"/>
          <w:sz w:val="20"/>
          <w:szCs w:val="20"/>
          <w:lang w:val="en-GB"/>
        </w:rPr>
        <w:t xml:space="preserve">et al. (2025) reported high levels of PAHs in WSFs of crude oil.  Also in that study, it was observed that </w:t>
      </w:r>
      <w:r w:rsidR="002E6D85" w:rsidRPr="006E19A0">
        <w:rPr>
          <w:rFonts w:ascii="Times New Roman" w:hAnsi="Times New Roman" w:cs="Times New Roman"/>
          <w:color w:val="222222"/>
          <w:sz w:val="20"/>
          <w:szCs w:val="20"/>
          <w:shd w:val="clear" w:color="auto" w:fill="FFFFFF"/>
        </w:rPr>
        <w:t xml:space="preserve">toxicity </w:t>
      </w:r>
      <w:r w:rsidR="002E6D85" w:rsidRPr="006E19A0">
        <w:rPr>
          <w:rFonts w:ascii="Times New Roman" w:hAnsi="Times New Roman" w:cs="Times New Roman"/>
          <w:color w:val="222222"/>
          <w:sz w:val="20"/>
          <w:szCs w:val="20"/>
          <w:shd w:val="clear" w:color="auto" w:fill="FFFFFF"/>
          <w:lang w:val="en-GB"/>
        </w:rPr>
        <w:t xml:space="preserve">of WSF </w:t>
      </w:r>
      <w:r w:rsidR="002E6D85" w:rsidRPr="006E19A0">
        <w:rPr>
          <w:rFonts w:ascii="Times New Roman" w:hAnsi="Times New Roman" w:cs="Times New Roman"/>
          <w:color w:val="222222"/>
          <w:sz w:val="20"/>
          <w:szCs w:val="20"/>
          <w:shd w:val="clear" w:color="auto" w:fill="FFFFFF"/>
        </w:rPr>
        <w:t>to sea urchin embryos tended to occur at higher concentrations</w:t>
      </w:r>
      <w:r w:rsidR="002E6D85" w:rsidRPr="006E19A0">
        <w:rPr>
          <w:rFonts w:ascii="Times New Roman" w:hAnsi="Times New Roman" w:cs="Times New Roman"/>
          <w:color w:val="222222"/>
          <w:sz w:val="20"/>
          <w:szCs w:val="20"/>
          <w:shd w:val="clear" w:color="auto" w:fill="FFFFFF"/>
          <w:lang w:val="en-GB"/>
        </w:rPr>
        <w:t xml:space="preserve"> (</w:t>
      </w:r>
      <w:r w:rsidR="002E6D85" w:rsidRPr="006E19A0">
        <w:rPr>
          <w:rFonts w:ascii="Times New Roman" w:hAnsi="Times New Roman" w:cs="Times New Roman"/>
          <w:color w:val="222222"/>
          <w:sz w:val="20"/>
          <w:szCs w:val="20"/>
        </w:rPr>
        <w:t xml:space="preserve">de Santana </w:t>
      </w:r>
      <w:r w:rsidR="002E6D85" w:rsidRPr="006E19A0">
        <w:rPr>
          <w:rFonts w:ascii="Times New Roman" w:hAnsi="Times New Roman" w:cs="Times New Roman"/>
          <w:color w:val="222222"/>
          <w:sz w:val="20"/>
          <w:szCs w:val="20"/>
          <w:lang w:val="en-GB"/>
        </w:rPr>
        <w:t xml:space="preserve">et al., 2025). </w:t>
      </w:r>
      <w:r w:rsidRPr="006E19A0">
        <w:rPr>
          <w:rFonts w:ascii="Times New Roman" w:hAnsi="Times New Roman" w:cs="Times New Roman"/>
          <w:sz w:val="20"/>
          <w:szCs w:val="20"/>
        </w:rPr>
        <w:t>According to Nwankwoala and Obirie (2018) total mononuclear aromatics constitute about 89% of the WSF of crude oil and benzene, toluene, ethylbenzene and xylene (BTEX) constituted 87.6% of the WSF. A total of 46 volatile compounds were identified in the WSF of leaded gasoline with aromatic hydrocarbons mainly benzene, toluene, ethylbenzene and xylene (BTEX) being the major component of the total dissolved compounds. Naphthalene and methylated naphthalenes were the major components in the polycyclic aromatic hydrocarbon (PAH) fraction. Diesel oil contains higher level of aromatic hydrocarbons than crude oil and aromatic hydrocarbons are more water soluble than alkanes of similar molecular weight. Diesel also contains BTEX (Liu and Kujawinski, 2015). Water soluble fractions of petroleum also contain anions, cations and heavy metals (Edema, 2012).</w:t>
      </w:r>
      <w:r w:rsidR="002E6D85" w:rsidRPr="006E19A0">
        <w:rPr>
          <w:rFonts w:ascii="Times New Roman" w:hAnsi="Times New Roman" w:cs="Times New Roman"/>
          <w:sz w:val="20"/>
          <w:szCs w:val="20"/>
          <w:lang w:val="en-GB"/>
        </w:rPr>
        <w:t xml:space="preserve"> </w:t>
      </w:r>
    </w:p>
    <w:p w14:paraId="0F8EA0AD" w14:textId="37D8487E" w:rsidR="008B4E75" w:rsidRPr="006E19A0" w:rsidRDefault="002E6D85"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rPr>
        <w:t xml:space="preserve">The littoral zone, also called litoral or nearshore, is the part of a sea, lake, or river that is close to the shore. In coastal ecology, the littoral zone includes the intertidal zone extending from the </w:t>
      </w:r>
      <w:r w:rsidR="0037441C" w:rsidRPr="006E19A0">
        <w:rPr>
          <w:rFonts w:ascii="Times New Roman" w:hAnsi="Times New Roman" w:cs="Times New Roman"/>
          <w:sz w:val="20"/>
          <w:szCs w:val="20"/>
        </w:rPr>
        <w:t>high</w:t>
      </w:r>
      <w:r w:rsidR="0037441C" w:rsidRPr="006E19A0">
        <w:rPr>
          <w:rFonts w:ascii="Times New Roman" w:hAnsi="Times New Roman" w:cs="Times New Roman"/>
          <w:sz w:val="20"/>
          <w:szCs w:val="20"/>
          <w:lang w:val="en-GB"/>
        </w:rPr>
        <w:t>-water</w:t>
      </w:r>
      <w:r w:rsidRPr="006E19A0">
        <w:rPr>
          <w:rFonts w:ascii="Times New Roman" w:hAnsi="Times New Roman" w:cs="Times New Roman"/>
          <w:sz w:val="20"/>
          <w:szCs w:val="20"/>
        </w:rPr>
        <w:t xml:space="preserve"> mark (which is rarely inundated</w:t>
      </w:r>
      <w:r w:rsidRPr="006E19A0">
        <w:rPr>
          <w:rFonts w:ascii="Times New Roman" w:hAnsi="Times New Roman" w:cs="Times New Roman"/>
          <w:sz w:val="20"/>
          <w:szCs w:val="20"/>
          <w:lang w:val="en-GB"/>
        </w:rPr>
        <w:t xml:space="preserve">. This part of the ecosystem house organisms like the </w:t>
      </w:r>
      <w:proofErr w:type="spellStart"/>
      <w:r w:rsidRPr="006E19A0">
        <w:rPr>
          <w:rFonts w:ascii="Times New Roman" w:hAnsi="Times New Roman" w:cs="Times New Roman"/>
          <w:sz w:val="20"/>
          <w:szCs w:val="20"/>
          <w:lang w:val="en-GB"/>
        </w:rPr>
        <w:t>fidder</w:t>
      </w:r>
      <w:proofErr w:type="spellEnd"/>
      <w:r w:rsidRPr="006E19A0">
        <w:rPr>
          <w:rFonts w:ascii="Times New Roman" w:hAnsi="Times New Roman" w:cs="Times New Roman"/>
          <w:sz w:val="20"/>
          <w:szCs w:val="20"/>
          <w:lang w:val="en-GB"/>
        </w:rPr>
        <w:t xml:space="preserve"> crabs, which also </w:t>
      </w:r>
      <w:r w:rsidRPr="006E19A0">
        <w:rPr>
          <w:rFonts w:ascii="Times New Roman" w:hAnsi="Times New Roman" w:cs="Times New Roman"/>
          <w:color w:val="2E2E2E"/>
          <w:sz w:val="20"/>
          <w:szCs w:val="20"/>
          <w:shd w:val="clear" w:color="auto" w:fill="FFFFFF"/>
        </w:rPr>
        <w:t>exhibit many adaptations to life on land</w:t>
      </w:r>
      <w:r w:rsidRPr="006E19A0">
        <w:rPr>
          <w:rFonts w:ascii="Times New Roman" w:hAnsi="Times New Roman" w:cs="Times New Roman"/>
          <w:color w:val="2E2E2E"/>
          <w:sz w:val="20"/>
          <w:szCs w:val="20"/>
          <w:shd w:val="clear" w:color="auto" w:fill="FFFFFF"/>
          <w:lang w:val="en-GB"/>
        </w:rPr>
        <w:t xml:space="preserve">. </w:t>
      </w:r>
      <w:r w:rsidR="00FE5672" w:rsidRPr="006E19A0">
        <w:rPr>
          <w:rFonts w:ascii="Times New Roman" w:hAnsi="Times New Roman" w:cs="Times New Roman"/>
          <w:color w:val="2E2E2E"/>
          <w:sz w:val="20"/>
          <w:szCs w:val="20"/>
          <w:shd w:val="clear" w:color="auto" w:fill="FFFFFF"/>
          <w:lang w:val="en-GB"/>
        </w:rPr>
        <w:t>However, w</w:t>
      </w:r>
      <w:r w:rsidRPr="006E19A0">
        <w:rPr>
          <w:rFonts w:ascii="Times New Roman" w:hAnsi="Times New Roman" w:cs="Times New Roman"/>
          <w:color w:val="2E2E2E"/>
          <w:sz w:val="20"/>
          <w:szCs w:val="20"/>
          <w:shd w:val="clear" w:color="auto" w:fill="FFFFFF"/>
          <w:lang w:val="en-GB"/>
        </w:rPr>
        <w:t>hen oil spills</w:t>
      </w:r>
      <w:r w:rsidR="00FE5672" w:rsidRPr="006E19A0">
        <w:rPr>
          <w:rFonts w:ascii="Times New Roman" w:hAnsi="Times New Roman" w:cs="Times New Roman"/>
          <w:color w:val="2E2E2E"/>
          <w:sz w:val="20"/>
          <w:szCs w:val="20"/>
          <w:shd w:val="clear" w:color="auto" w:fill="FFFFFF"/>
          <w:lang w:val="en-GB"/>
        </w:rPr>
        <w:t xml:space="preserve"> offshore, near shore or </w:t>
      </w:r>
      <w:proofErr w:type="spellStart"/>
      <w:r w:rsidR="00FE5672" w:rsidRPr="006E19A0">
        <w:rPr>
          <w:rFonts w:ascii="Times New Roman" w:hAnsi="Times New Roman" w:cs="Times New Roman"/>
          <w:color w:val="2E2E2E"/>
          <w:sz w:val="20"/>
          <w:szCs w:val="20"/>
          <w:shd w:val="clear" w:color="auto" w:fill="FFFFFF"/>
          <w:lang w:val="en-GB"/>
        </w:rPr>
        <w:t>onland</w:t>
      </w:r>
      <w:proofErr w:type="spellEnd"/>
      <w:r w:rsidRPr="006E19A0">
        <w:rPr>
          <w:rFonts w:ascii="Times New Roman" w:hAnsi="Times New Roman" w:cs="Times New Roman"/>
          <w:color w:val="2E2E2E"/>
          <w:sz w:val="20"/>
          <w:szCs w:val="20"/>
          <w:shd w:val="clear" w:color="auto" w:fill="FFFFFF"/>
          <w:lang w:val="en-GB"/>
        </w:rPr>
        <w:t>, these organisms become</w:t>
      </w:r>
      <w:r w:rsidR="00FE5672" w:rsidRPr="006E19A0">
        <w:rPr>
          <w:rFonts w:ascii="Times New Roman" w:hAnsi="Times New Roman" w:cs="Times New Roman"/>
          <w:color w:val="2E2E2E"/>
          <w:sz w:val="20"/>
          <w:szCs w:val="20"/>
          <w:shd w:val="clear" w:color="auto" w:fill="FFFFFF"/>
          <w:lang w:val="en-GB"/>
        </w:rPr>
        <w:t xml:space="preserve"> vulnerable to the hydrocarbons released. The soluble fractions from the aquatic environment inundate their natural habitat and burrows leaving them exposed to the toxic potency of the oil spill. </w:t>
      </w:r>
      <w:r w:rsidR="00FE5672" w:rsidRPr="006E19A0">
        <w:rPr>
          <w:rFonts w:ascii="Times New Roman" w:hAnsi="Times New Roman" w:cs="Times New Roman"/>
          <w:color w:val="1F1F1F"/>
          <w:sz w:val="20"/>
          <w:szCs w:val="20"/>
        </w:rPr>
        <w:t xml:space="preserve">Given the paucity of studies on the effects of crude-oil WSF </w:t>
      </w:r>
      <w:r w:rsidR="00FE5672" w:rsidRPr="006E19A0">
        <w:rPr>
          <w:rFonts w:ascii="Times New Roman" w:hAnsi="Times New Roman" w:cs="Times New Roman"/>
          <w:color w:val="1F1F1F"/>
          <w:sz w:val="20"/>
          <w:szCs w:val="20"/>
          <w:lang w:val="en-GB"/>
        </w:rPr>
        <w:t xml:space="preserve">on </w:t>
      </w:r>
      <w:proofErr w:type="spellStart"/>
      <w:r w:rsidR="00FE5672" w:rsidRPr="006E19A0">
        <w:rPr>
          <w:rFonts w:ascii="Times New Roman" w:hAnsi="Times New Roman" w:cs="Times New Roman"/>
          <w:color w:val="1F1F1F"/>
          <w:sz w:val="20"/>
          <w:szCs w:val="20"/>
          <w:lang w:val="en-GB"/>
        </w:rPr>
        <w:t>fidder</w:t>
      </w:r>
      <w:proofErr w:type="spellEnd"/>
      <w:r w:rsidR="00FE5672" w:rsidRPr="006E19A0">
        <w:rPr>
          <w:rFonts w:ascii="Times New Roman" w:hAnsi="Times New Roman" w:cs="Times New Roman"/>
          <w:color w:val="1F1F1F"/>
          <w:sz w:val="20"/>
          <w:szCs w:val="20"/>
          <w:lang w:val="en-GB"/>
        </w:rPr>
        <w:t xml:space="preserve"> crab</w:t>
      </w:r>
      <w:r w:rsidR="0037441C" w:rsidRPr="006E19A0">
        <w:rPr>
          <w:rFonts w:ascii="Times New Roman" w:hAnsi="Times New Roman" w:cs="Times New Roman"/>
          <w:color w:val="1F1F1F"/>
          <w:sz w:val="20"/>
          <w:szCs w:val="20"/>
          <w:lang w:val="en-GB"/>
        </w:rPr>
        <w:t>s</w:t>
      </w:r>
      <w:r w:rsidR="00FE5672" w:rsidRPr="006E19A0">
        <w:rPr>
          <w:rFonts w:ascii="Times New Roman" w:hAnsi="Times New Roman" w:cs="Times New Roman"/>
          <w:color w:val="1F1F1F"/>
          <w:sz w:val="20"/>
          <w:szCs w:val="20"/>
          <w:lang w:val="en-GB"/>
        </w:rPr>
        <w:t>, we decided to test the exposure of th</w:t>
      </w:r>
      <w:r w:rsidR="0037441C" w:rsidRPr="006E19A0">
        <w:rPr>
          <w:rFonts w:ascii="Times New Roman" w:hAnsi="Times New Roman" w:cs="Times New Roman"/>
          <w:color w:val="1F1F1F"/>
          <w:sz w:val="20"/>
          <w:szCs w:val="20"/>
          <w:lang w:val="en-GB"/>
        </w:rPr>
        <w:t>is</w:t>
      </w:r>
      <w:r w:rsidR="00FE5672" w:rsidRPr="006E19A0">
        <w:rPr>
          <w:rFonts w:ascii="Times New Roman" w:hAnsi="Times New Roman" w:cs="Times New Roman"/>
          <w:color w:val="1F1F1F"/>
          <w:sz w:val="20"/>
          <w:szCs w:val="20"/>
          <w:lang w:val="en-GB"/>
        </w:rPr>
        <w:t xml:space="preserve"> littoral fauna, </w:t>
      </w:r>
      <w:r w:rsidR="00FE5672" w:rsidRPr="006E19A0">
        <w:rPr>
          <w:rFonts w:ascii="Times New Roman" w:eastAsia="Arial Unicode MS" w:hAnsi="Times New Roman" w:cs="Times New Roman"/>
          <w:i/>
          <w:iCs/>
          <w:kern w:val="24"/>
          <w:sz w:val="20"/>
          <w:szCs w:val="20"/>
        </w:rPr>
        <w:t>Uca tangeri</w:t>
      </w:r>
      <w:r w:rsidR="0037441C" w:rsidRPr="006E19A0">
        <w:rPr>
          <w:rFonts w:ascii="Times New Roman" w:hAnsi="Times New Roman" w:cs="Times New Roman"/>
          <w:color w:val="1F1F1F"/>
          <w:sz w:val="20"/>
          <w:szCs w:val="20"/>
          <w:lang w:val="en-GB"/>
        </w:rPr>
        <w:t xml:space="preserve">, </w:t>
      </w:r>
      <w:r w:rsidR="00FE5672" w:rsidRPr="006E19A0">
        <w:rPr>
          <w:rFonts w:ascii="Times New Roman" w:hAnsi="Times New Roman" w:cs="Times New Roman"/>
          <w:color w:val="1F1F1F"/>
          <w:sz w:val="20"/>
          <w:szCs w:val="20"/>
          <w:lang w:val="en-GB"/>
        </w:rPr>
        <w:t xml:space="preserve">to </w:t>
      </w:r>
      <w:r w:rsidR="0037441C" w:rsidRPr="006E19A0">
        <w:rPr>
          <w:rFonts w:ascii="Times New Roman" w:hAnsi="Times New Roman" w:cs="Times New Roman"/>
          <w:color w:val="1F1F1F"/>
          <w:sz w:val="20"/>
          <w:szCs w:val="20"/>
          <w:lang w:val="en-GB"/>
        </w:rPr>
        <w:t xml:space="preserve">the </w:t>
      </w:r>
      <w:r w:rsidR="00FE5672" w:rsidRPr="006E19A0">
        <w:rPr>
          <w:rFonts w:ascii="Times New Roman" w:hAnsi="Times New Roman" w:cs="Times New Roman"/>
          <w:color w:val="1F1F1F"/>
          <w:sz w:val="20"/>
          <w:szCs w:val="20"/>
          <w:lang w:val="en-GB"/>
        </w:rPr>
        <w:t xml:space="preserve">WSF of </w:t>
      </w:r>
      <w:r w:rsidR="0037441C" w:rsidRPr="006E19A0">
        <w:rPr>
          <w:rFonts w:ascii="Times New Roman" w:hAnsi="Times New Roman" w:cs="Times New Roman"/>
          <w:color w:val="1F1F1F"/>
          <w:sz w:val="20"/>
          <w:szCs w:val="20"/>
          <w:lang w:val="en-GB"/>
        </w:rPr>
        <w:t xml:space="preserve">one of </w:t>
      </w:r>
      <w:r w:rsidR="00FE5672" w:rsidRPr="006E19A0">
        <w:rPr>
          <w:rFonts w:ascii="Times New Roman" w:hAnsi="Times New Roman" w:cs="Times New Roman"/>
          <w:color w:val="1F1F1F"/>
          <w:sz w:val="20"/>
          <w:szCs w:val="20"/>
          <w:lang w:val="en-GB"/>
        </w:rPr>
        <w:t>Nigeria</w:t>
      </w:r>
      <w:r w:rsidR="0037441C" w:rsidRPr="006E19A0">
        <w:rPr>
          <w:rFonts w:ascii="Times New Roman" w:hAnsi="Times New Roman" w:cs="Times New Roman"/>
          <w:color w:val="1F1F1F"/>
          <w:sz w:val="20"/>
          <w:szCs w:val="20"/>
          <w:lang w:val="en-GB"/>
        </w:rPr>
        <w:t>’s major</w:t>
      </w:r>
      <w:r w:rsidR="00FE5672" w:rsidRPr="006E19A0">
        <w:rPr>
          <w:rFonts w:ascii="Times New Roman" w:hAnsi="Times New Roman" w:cs="Times New Roman"/>
          <w:color w:val="1F1F1F"/>
          <w:sz w:val="20"/>
          <w:szCs w:val="20"/>
          <w:lang w:val="en-GB"/>
        </w:rPr>
        <w:t xml:space="preserve"> crude oil </w:t>
      </w:r>
      <w:r w:rsidR="0037441C" w:rsidRPr="006E19A0">
        <w:rPr>
          <w:rFonts w:ascii="Times New Roman" w:hAnsi="Times New Roman" w:cs="Times New Roman"/>
          <w:color w:val="1F1F1F"/>
          <w:sz w:val="20"/>
          <w:szCs w:val="20"/>
          <w:lang w:val="en-GB"/>
        </w:rPr>
        <w:t>brands. The aim of the work was to delimit its lethal concentration on</w:t>
      </w:r>
      <w:r w:rsidR="00FE5672" w:rsidRPr="006E19A0">
        <w:rPr>
          <w:rFonts w:ascii="Times New Roman" w:hAnsi="Times New Roman" w:cs="Times New Roman"/>
          <w:color w:val="1F1F1F"/>
          <w:sz w:val="20"/>
          <w:szCs w:val="20"/>
        </w:rPr>
        <w:t xml:space="preserve"> exposure of </w:t>
      </w:r>
      <w:r w:rsidR="0037441C" w:rsidRPr="006E19A0">
        <w:rPr>
          <w:rFonts w:ascii="Times New Roman" w:hAnsi="Times New Roman" w:cs="Times New Roman"/>
          <w:color w:val="1F1F1F"/>
          <w:sz w:val="20"/>
          <w:szCs w:val="20"/>
          <w:lang w:val="en-GB"/>
        </w:rPr>
        <w:t xml:space="preserve">the littoral fauna </w:t>
      </w:r>
      <w:r w:rsidR="00FE5672" w:rsidRPr="006E19A0">
        <w:rPr>
          <w:rFonts w:ascii="Times New Roman" w:hAnsi="Times New Roman" w:cs="Times New Roman"/>
          <w:color w:val="1F1F1F"/>
          <w:sz w:val="20"/>
          <w:szCs w:val="20"/>
        </w:rPr>
        <w:t>to different levels of crude-oil WSF</w:t>
      </w:r>
      <w:r w:rsidR="0037441C" w:rsidRPr="006E19A0">
        <w:rPr>
          <w:rFonts w:ascii="Times New Roman" w:hAnsi="Times New Roman" w:cs="Times New Roman"/>
          <w:color w:val="1F1F1F"/>
          <w:sz w:val="20"/>
          <w:szCs w:val="20"/>
          <w:lang w:val="en-GB"/>
        </w:rPr>
        <w:t>.</w:t>
      </w:r>
    </w:p>
    <w:p w14:paraId="39ACEEB1" w14:textId="3A4DC402" w:rsidR="00BA25F2" w:rsidRPr="006E19A0" w:rsidRDefault="00BA25F2" w:rsidP="00702AD9">
      <w:pPr>
        <w:spacing w:after="120" w:line="360" w:lineRule="auto"/>
        <w:jc w:val="both"/>
        <w:rPr>
          <w:rFonts w:ascii="Times New Roman" w:hAnsi="Times New Roman" w:cs="Times New Roman"/>
          <w:sz w:val="20"/>
          <w:szCs w:val="20"/>
        </w:rPr>
      </w:pPr>
    </w:p>
    <w:p w14:paraId="48DD6591" w14:textId="77777777" w:rsidR="006E19A0" w:rsidRDefault="006E19A0" w:rsidP="00702AD9">
      <w:pPr>
        <w:spacing w:after="120" w:line="360" w:lineRule="auto"/>
        <w:jc w:val="both"/>
        <w:rPr>
          <w:rFonts w:ascii="Times New Roman" w:hAnsi="Times New Roman" w:cs="Times New Roman"/>
          <w:b/>
          <w:bCs/>
          <w:sz w:val="20"/>
          <w:szCs w:val="20"/>
          <w:lang w:val="en-GB"/>
        </w:rPr>
      </w:pPr>
    </w:p>
    <w:p w14:paraId="1EFC1462" w14:textId="77777777" w:rsidR="006E19A0" w:rsidRDefault="006E19A0" w:rsidP="00702AD9">
      <w:pPr>
        <w:spacing w:after="120" w:line="360" w:lineRule="auto"/>
        <w:jc w:val="both"/>
        <w:rPr>
          <w:rFonts w:ascii="Times New Roman" w:hAnsi="Times New Roman" w:cs="Times New Roman"/>
          <w:b/>
          <w:bCs/>
          <w:sz w:val="20"/>
          <w:szCs w:val="20"/>
          <w:lang w:val="en-GB"/>
        </w:rPr>
      </w:pPr>
    </w:p>
    <w:p w14:paraId="69D5FDAD" w14:textId="47A6BADC" w:rsidR="002B35FE" w:rsidRPr="006E19A0" w:rsidRDefault="001B0EB6"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2.0. Materials and methods</w:t>
      </w:r>
    </w:p>
    <w:p w14:paraId="0CEFAA75" w14:textId="60FAEBD5" w:rsidR="002B35FE" w:rsidRPr="006E19A0" w:rsidRDefault="00702AD9"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t xml:space="preserve">2.1. </w:t>
      </w:r>
      <w:r w:rsidR="002B35FE" w:rsidRPr="006E19A0">
        <w:rPr>
          <w:rFonts w:ascii="Times New Roman" w:eastAsia="Arial Unicode MS" w:hAnsi="Times New Roman" w:cs="Times New Roman"/>
          <w:b/>
          <w:sz w:val="20"/>
          <w:szCs w:val="20"/>
        </w:rPr>
        <w:t>Acclimation of the test organism</w:t>
      </w:r>
      <w:r w:rsidR="002B35FE" w:rsidRPr="006E19A0">
        <w:rPr>
          <w:rFonts w:ascii="Times New Roman" w:eastAsia="Arial Unicode MS" w:hAnsi="Times New Roman" w:cs="Times New Roman"/>
          <w:b/>
          <w:bCs/>
          <w:kern w:val="24"/>
          <w:sz w:val="20"/>
          <w:szCs w:val="20"/>
        </w:rPr>
        <w:t xml:space="preserve"> (</w:t>
      </w:r>
      <w:proofErr w:type="spellStart"/>
      <w:r w:rsidR="002B35FE" w:rsidRPr="006E19A0">
        <w:rPr>
          <w:rFonts w:ascii="Times New Roman" w:eastAsia="Arial Unicode MS" w:hAnsi="Times New Roman" w:cs="Times New Roman"/>
          <w:b/>
          <w:bCs/>
          <w:i/>
          <w:iCs/>
          <w:kern w:val="24"/>
          <w:sz w:val="20"/>
          <w:szCs w:val="20"/>
        </w:rPr>
        <w:t>Uca</w:t>
      </w:r>
      <w:proofErr w:type="spellEnd"/>
      <w:r w:rsidR="002B35FE" w:rsidRPr="006E19A0">
        <w:rPr>
          <w:rFonts w:ascii="Times New Roman" w:eastAsia="Arial Unicode MS" w:hAnsi="Times New Roman" w:cs="Times New Roman"/>
          <w:b/>
          <w:bCs/>
          <w:i/>
          <w:iCs/>
          <w:kern w:val="24"/>
          <w:sz w:val="20"/>
          <w:szCs w:val="20"/>
        </w:rPr>
        <w:t xml:space="preserve"> </w:t>
      </w:r>
      <w:proofErr w:type="spellStart"/>
      <w:r w:rsidR="002B35FE" w:rsidRPr="006E19A0">
        <w:rPr>
          <w:rFonts w:ascii="Times New Roman" w:eastAsia="Arial Unicode MS" w:hAnsi="Times New Roman" w:cs="Times New Roman"/>
          <w:b/>
          <w:bCs/>
          <w:i/>
          <w:iCs/>
          <w:kern w:val="24"/>
          <w:sz w:val="20"/>
          <w:szCs w:val="20"/>
        </w:rPr>
        <w:t>tangeri</w:t>
      </w:r>
      <w:proofErr w:type="spellEnd"/>
      <w:r w:rsidR="002B35FE" w:rsidRPr="006E19A0">
        <w:rPr>
          <w:rFonts w:ascii="Times New Roman" w:eastAsia="Arial Unicode MS" w:hAnsi="Times New Roman" w:cs="Times New Roman"/>
          <w:b/>
          <w:bCs/>
          <w:kern w:val="24"/>
          <w:sz w:val="20"/>
          <w:szCs w:val="20"/>
        </w:rPr>
        <w:t>)</w:t>
      </w:r>
    </w:p>
    <w:p w14:paraId="616B09BE" w14:textId="77777777" w:rsidR="002B35FE" w:rsidRPr="006E19A0" w:rsidRDefault="002B35FE" w:rsidP="00702AD9">
      <w:pPr>
        <w:spacing w:after="120" w:line="360" w:lineRule="auto"/>
        <w:contextualSpacing/>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 xml:space="preserve">Acclimation was done according to laboratory conditions using a 150 </w:t>
      </w:r>
      <w:proofErr w:type="spellStart"/>
      <w:r w:rsidRPr="006E19A0">
        <w:rPr>
          <w:rFonts w:ascii="Times New Roman" w:eastAsia="Arial Unicode MS" w:hAnsi="Times New Roman" w:cs="Times New Roman"/>
          <w:kern w:val="24"/>
          <w:sz w:val="20"/>
          <w:szCs w:val="20"/>
        </w:rPr>
        <w:t>litres</w:t>
      </w:r>
      <w:proofErr w:type="spellEnd"/>
      <w:r w:rsidRPr="006E19A0">
        <w:rPr>
          <w:rFonts w:ascii="Times New Roman" w:eastAsia="Arial Unicode MS" w:hAnsi="Times New Roman" w:cs="Times New Roman"/>
          <w:kern w:val="24"/>
          <w:sz w:val="20"/>
          <w:szCs w:val="20"/>
        </w:rPr>
        <w:t xml:space="preserve"> capacity glass aquarium.</w:t>
      </w:r>
    </w:p>
    <w:p w14:paraId="6261A38D" w14:textId="31E0FB2C" w:rsidR="002B35FE" w:rsidRPr="006E19A0" w:rsidRDefault="002B35FE"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kern w:val="24"/>
          <w:sz w:val="20"/>
          <w:szCs w:val="20"/>
        </w:rPr>
        <w:t xml:space="preserve">A total of 630 healthy samples of Adult </w:t>
      </w:r>
      <w:proofErr w:type="spellStart"/>
      <w:r w:rsidRPr="006E19A0">
        <w:rPr>
          <w:rFonts w:ascii="Times New Roman" w:eastAsia="Arial Unicode MS" w:hAnsi="Times New Roman" w:cs="Times New Roman"/>
          <w:i/>
          <w:iCs/>
          <w:kern w:val="24"/>
          <w:sz w:val="20"/>
          <w:szCs w:val="20"/>
        </w:rPr>
        <w:t>Uca</w:t>
      </w:r>
      <w:proofErr w:type="spellEnd"/>
      <w:r w:rsidRPr="006E19A0">
        <w:rPr>
          <w:rFonts w:ascii="Times New Roman" w:eastAsia="Arial Unicode MS" w:hAnsi="Times New Roman" w:cs="Times New Roman"/>
          <w:i/>
          <w:iCs/>
          <w:kern w:val="24"/>
          <w:sz w:val="20"/>
          <w:szCs w:val="20"/>
        </w:rPr>
        <w:t xml:space="preserve"> </w:t>
      </w:r>
      <w:proofErr w:type="spellStart"/>
      <w:r w:rsidRPr="006E19A0">
        <w:rPr>
          <w:rFonts w:ascii="Times New Roman" w:eastAsia="Arial Unicode MS" w:hAnsi="Times New Roman" w:cs="Times New Roman"/>
          <w:i/>
          <w:iCs/>
          <w:kern w:val="24"/>
          <w:sz w:val="20"/>
          <w:szCs w:val="20"/>
        </w:rPr>
        <w:t>tangeri</w:t>
      </w:r>
      <w:proofErr w:type="spellEnd"/>
      <w:r w:rsidRPr="006E19A0">
        <w:rPr>
          <w:rFonts w:ascii="Times New Roman" w:eastAsia="Arial Unicode MS" w:hAnsi="Times New Roman" w:cs="Times New Roman"/>
          <w:kern w:val="24"/>
          <w:sz w:val="20"/>
          <w:szCs w:val="20"/>
        </w:rPr>
        <w:t xml:space="preserve"> were obtained from a </w:t>
      </w:r>
      <w:proofErr w:type="spellStart"/>
      <w:r w:rsidRPr="006E19A0">
        <w:rPr>
          <w:rFonts w:ascii="Times New Roman" w:eastAsia="Arial Unicode MS" w:hAnsi="Times New Roman" w:cs="Times New Roman"/>
          <w:kern w:val="24"/>
          <w:sz w:val="20"/>
          <w:szCs w:val="20"/>
        </w:rPr>
        <w:t>Chicoco</w:t>
      </w:r>
      <w:proofErr w:type="spellEnd"/>
      <w:r w:rsidRPr="006E19A0">
        <w:rPr>
          <w:rFonts w:ascii="Times New Roman" w:eastAsia="Arial Unicode MS" w:hAnsi="Times New Roman" w:cs="Times New Roman"/>
          <w:kern w:val="24"/>
          <w:sz w:val="20"/>
          <w:szCs w:val="20"/>
        </w:rPr>
        <w:t xml:space="preserve"> mud where the crabs were collected by hand picking in hand gloves from the clean mangrove mudflat and transported in plastic containers to the laboratory. Acclimation was done according to laboratory conditions using a 150 </w:t>
      </w:r>
      <w:proofErr w:type="spellStart"/>
      <w:r w:rsidRPr="006E19A0">
        <w:rPr>
          <w:rFonts w:ascii="Times New Roman" w:eastAsia="Arial Unicode MS" w:hAnsi="Times New Roman" w:cs="Times New Roman"/>
          <w:kern w:val="24"/>
          <w:sz w:val="20"/>
          <w:szCs w:val="20"/>
        </w:rPr>
        <w:t>litres</w:t>
      </w:r>
      <w:proofErr w:type="spellEnd"/>
      <w:r w:rsidRPr="006E19A0">
        <w:rPr>
          <w:rFonts w:ascii="Times New Roman" w:eastAsia="Arial Unicode MS" w:hAnsi="Times New Roman" w:cs="Times New Roman"/>
          <w:kern w:val="24"/>
          <w:sz w:val="20"/>
          <w:szCs w:val="20"/>
        </w:rPr>
        <w:t xml:space="preserve"> capacity glass aquarium for 48hrs and fed with sampling location mud rich organic matter until further analysis. </w:t>
      </w:r>
    </w:p>
    <w:p w14:paraId="56CC36C8" w14:textId="77777777"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lastRenderedPageBreak/>
        <w:t>During acclimation, the tank was aerated continuously. The water in each glass tank was replaced with brackish water collected from the same station and stored in the laboratory. The water was replaced after 24 hours daily.</w:t>
      </w:r>
    </w:p>
    <w:p w14:paraId="735E7956" w14:textId="7B120876"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 xml:space="preserve">Water soluble fraction (WSF) of Bonny Light crude oil was prepared following the method of </w:t>
      </w:r>
      <w:r w:rsidR="000D1C51" w:rsidRPr="006E19A0">
        <w:rPr>
          <w:rFonts w:ascii="Times New Roman" w:eastAsia="Arial Unicode MS" w:hAnsi="Times New Roman" w:cs="Times New Roman"/>
          <w:kern w:val="24"/>
          <w:sz w:val="20"/>
          <w:szCs w:val="20"/>
        </w:rPr>
        <w:t>Edena (2010).</w:t>
      </w:r>
    </w:p>
    <w:p w14:paraId="0A61BA8D" w14:textId="77777777"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Preliminary test was first carried out to establish a range of concentration using a standard range finding method as recommended by manual of methods in aquatic environmental Research (</w:t>
      </w:r>
      <w:proofErr w:type="spellStart"/>
      <w:r w:rsidRPr="006E19A0">
        <w:rPr>
          <w:rFonts w:ascii="Times New Roman" w:eastAsia="Arial Unicode MS" w:hAnsi="Times New Roman" w:cs="Times New Roman"/>
          <w:kern w:val="24"/>
          <w:sz w:val="20"/>
          <w:szCs w:val="20"/>
        </w:rPr>
        <w:t>Reish</w:t>
      </w:r>
      <w:proofErr w:type="spellEnd"/>
      <w:r w:rsidRPr="006E19A0">
        <w:rPr>
          <w:rFonts w:ascii="Times New Roman" w:eastAsia="Arial Unicode MS" w:hAnsi="Times New Roman" w:cs="Times New Roman"/>
          <w:kern w:val="24"/>
          <w:sz w:val="20"/>
          <w:szCs w:val="20"/>
        </w:rPr>
        <w:t xml:space="preserve"> and </w:t>
      </w:r>
      <w:proofErr w:type="spellStart"/>
      <w:r w:rsidRPr="006E19A0">
        <w:rPr>
          <w:rFonts w:ascii="Times New Roman" w:eastAsia="Arial Unicode MS" w:hAnsi="Times New Roman" w:cs="Times New Roman"/>
          <w:kern w:val="24"/>
          <w:sz w:val="20"/>
          <w:szCs w:val="20"/>
        </w:rPr>
        <w:t>Oshida</w:t>
      </w:r>
      <w:proofErr w:type="spellEnd"/>
      <w:r w:rsidRPr="006E19A0">
        <w:rPr>
          <w:rFonts w:ascii="Times New Roman" w:eastAsia="Arial Unicode MS" w:hAnsi="Times New Roman" w:cs="Times New Roman"/>
          <w:kern w:val="24"/>
          <w:sz w:val="20"/>
          <w:szCs w:val="20"/>
        </w:rPr>
        <w:t>, 1986).</w:t>
      </w:r>
    </w:p>
    <w:p w14:paraId="4D43799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623E72AF" w14:textId="1AEE9128" w:rsidR="002B35FE" w:rsidRPr="006E19A0" w:rsidRDefault="002B35FE"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 xml:space="preserve"> Test Chemical</w:t>
      </w:r>
    </w:p>
    <w:p w14:paraId="10C29E03" w14:textId="1FA602DA" w:rsidR="002B35FE" w:rsidRPr="006E19A0" w:rsidRDefault="002B35FE" w:rsidP="00702AD9">
      <w:pPr>
        <w:spacing w:after="120" w:line="360" w:lineRule="auto"/>
        <w:contextualSpacing/>
        <w:jc w:val="both"/>
        <w:rPr>
          <w:rFonts w:ascii="Times New Roman" w:eastAsia="Arial Unicode MS" w:hAnsi="Times New Roman" w:cs="Times New Roman"/>
          <w:b/>
          <w:bCs/>
          <w:kern w:val="24"/>
          <w:sz w:val="20"/>
          <w:szCs w:val="20"/>
        </w:rPr>
      </w:pPr>
      <w:r w:rsidRPr="006E19A0">
        <w:rPr>
          <w:rFonts w:ascii="Times New Roman" w:eastAsia="Arial Unicode MS" w:hAnsi="Times New Roman" w:cs="Times New Roman"/>
          <w:sz w:val="20"/>
          <w:szCs w:val="20"/>
        </w:rPr>
        <w:t>The test chemical (</w:t>
      </w:r>
      <w:r w:rsidRPr="006E19A0">
        <w:rPr>
          <w:rFonts w:ascii="Times New Roman" w:eastAsia="Arial Unicode MS" w:hAnsi="Times New Roman" w:cs="Times New Roman"/>
          <w:sz w:val="20"/>
          <w:szCs w:val="20"/>
          <w:lang w:val="en-GB"/>
        </w:rPr>
        <w:t>B</w:t>
      </w:r>
      <w:r w:rsidRPr="006E19A0">
        <w:rPr>
          <w:rFonts w:ascii="Times New Roman" w:eastAsia="Arial Unicode MS" w:hAnsi="Times New Roman" w:cs="Times New Roman"/>
          <w:sz w:val="20"/>
          <w:szCs w:val="20"/>
        </w:rPr>
        <w:t xml:space="preserve">onny </w:t>
      </w:r>
      <w:r w:rsidRPr="006E19A0">
        <w:rPr>
          <w:rFonts w:ascii="Times New Roman" w:eastAsia="Arial Unicode MS" w:hAnsi="Times New Roman" w:cs="Times New Roman"/>
          <w:sz w:val="20"/>
          <w:szCs w:val="20"/>
          <w:lang w:val="en-GB"/>
        </w:rPr>
        <w:t>L</w:t>
      </w:r>
      <w:r w:rsidRPr="006E19A0">
        <w:rPr>
          <w:rFonts w:ascii="Times New Roman" w:eastAsia="Arial Unicode MS" w:hAnsi="Times New Roman" w:cs="Times New Roman"/>
          <w:sz w:val="20"/>
          <w:szCs w:val="20"/>
        </w:rPr>
        <w:t>ight crude oil)</w:t>
      </w:r>
      <w:r w:rsidRPr="006E19A0">
        <w:rPr>
          <w:rFonts w:ascii="Times New Roman" w:eastAsia="Arial Unicode MS" w:hAnsi="Times New Roman" w:cs="Times New Roman"/>
          <w:b/>
          <w:bCs/>
          <w:sz w:val="20"/>
          <w:szCs w:val="20"/>
        </w:rPr>
        <w:t xml:space="preserve"> </w:t>
      </w:r>
      <w:r w:rsidRPr="006E19A0">
        <w:rPr>
          <w:rFonts w:ascii="Times New Roman" w:eastAsia="Arial Unicode MS" w:hAnsi="Times New Roman" w:cs="Times New Roman"/>
          <w:sz w:val="20"/>
          <w:szCs w:val="20"/>
        </w:rPr>
        <w:t>was collected in a container from Shell Petroleum Development Company of Nigeria Limited (SPDC) in Port Harcourt and was stored under ambient conditions before usage in the laboratory.</w:t>
      </w:r>
    </w:p>
    <w:p w14:paraId="5BC74B1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56DE5858" w14:textId="15363621" w:rsidR="008C65A7"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 xml:space="preserve">2.2.1. </w:t>
      </w:r>
      <w:r w:rsidR="008C65A7" w:rsidRPr="006E19A0">
        <w:rPr>
          <w:rFonts w:ascii="Times New Roman" w:eastAsia="Arial Unicode MS" w:hAnsi="Times New Roman" w:cs="Times New Roman"/>
          <w:b/>
          <w:sz w:val="20"/>
          <w:szCs w:val="20"/>
        </w:rPr>
        <w:t xml:space="preserve">Preparation of Water-Soluble Fraction (WSF) of </w:t>
      </w:r>
      <w:r w:rsidR="008C65A7" w:rsidRPr="006E19A0">
        <w:rPr>
          <w:rFonts w:ascii="Times New Roman" w:eastAsia="Arial Unicode MS" w:hAnsi="Times New Roman" w:cs="Times New Roman"/>
          <w:b/>
          <w:bCs/>
          <w:sz w:val="20"/>
          <w:szCs w:val="20"/>
        </w:rPr>
        <w:t>Bonny light</w:t>
      </w:r>
      <w:r w:rsidR="008C65A7" w:rsidRPr="006E19A0">
        <w:rPr>
          <w:rFonts w:ascii="Times New Roman" w:eastAsia="Arial Unicode MS" w:hAnsi="Times New Roman" w:cs="Times New Roman"/>
          <w:b/>
          <w:sz w:val="20"/>
          <w:szCs w:val="20"/>
        </w:rPr>
        <w:t xml:space="preserve"> Crude Oil</w:t>
      </w:r>
    </w:p>
    <w:p w14:paraId="6D57DA26" w14:textId="4CB0B516" w:rsidR="002B35FE"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Bonny light crude oil used in the study was</w:t>
      </w:r>
      <w:r w:rsidRPr="006E19A0">
        <w:rPr>
          <w:rFonts w:ascii="Times New Roman" w:eastAsia="Arial Unicode MS" w:hAnsi="Times New Roman" w:cs="Times New Roman"/>
          <w:sz w:val="20"/>
          <w:szCs w:val="20"/>
          <w:shd w:val="clear" w:color="auto" w:fill="FFFFFF"/>
        </w:rPr>
        <w:t xml:space="preserve"> derived from the Shell Petroleum Development Company,</w:t>
      </w:r>
      <w:r w:rsidRPr="006E19A0">
        <w:rPr>
          <w:rFonts w:ascii="Times New Roman" w:eastAsia="Arial Unicode MS" w:hAnsi="Times New Roman" w:cs="Times New Roman"/>
          <w:sz w:val="20"/>
          <w:szCs w:val="20"/>
        </w:rPr>
        <w:t xml:space="preserve"> in Port Harcourt, Rivers State.</w:t>
      </w:r>
      <w:r w:rsidRPr="006E19A0">
        <w:rPr>
          <w:rFonts w:ascii="Times New Roman" w:eastAsia="Arial Unicode MS" w:hAnsi="Times New Roman" w:cs="Times New Roman"/>
          <w:b/>
          <w:bCs/>
          <w:sz w:val="20"/>
          <w:szCs w:val="20"/>
        </w:rPr>
        <w:t xml:space="preserve"> </w:t>
      </w:r>
      <w:r w:rsidRPr="006E19A0">
        <w:rPr>
          <w:rFonts w:ascii="Times New Roman" w:eastAsia="Arial Unicode MS" w:hAnsi="Times New Roman" w:cs="Times New Roman"/>
          <w:sz w:val="20"/>
          <w:szCs w:val="20"/>
        </w:rPr>
        <w:t xml:space="preserve">The water-soluble fraction (WSF) of the </w:t>
      </w:r>
      <w:r w:rsidRPr="006E19A0">
        <w:rPr>
          <w:rStyle w:val="fontstyle01"/>
          <w:rFonts w:eastAsia="Arial Unicode MS"/>
        </w:rPr>
        <w:t>crude oil</w:t>
      </w:r>
      <w:r w:rsidRPr="006E19A0">
        <w:rPr>
          <w:rFonts w:ascii="Times New Roman" w:eastAsia="Arial Unicode MS" w:hAnsi="Times New Roman" w:cs="Times New Roman"/>
          <w:sz w:val="20"/>
          <w:szCs w:val="20"/>
        </w:rPr>
        <w:t xml:space="preserve"> used was prepared using the method described in previous studies (O</w:t>
      </w:r>
      <w:proofErr w:type="spellStart"/>
      <w:r w:rsidR="00063BC0" w:rsidRPr="006E19A0">
        <w:rPr>
          <w:rFonts w:ascii="Times New Roman" w:eastAsia="Arial Unicode MS" w:hAnsi="Times New Roman" w:cs="Times New Roman"/>
          <w:sz w:val="20"/>
          <w:szCs w:val="20"/>
          <w:lang w:val="en-GB"/>
        </w:rPr>
        <w:t>geleka</w:t>
      </w:r>
      <w:proofErr w:type="spellEnd"/>
      <w:r w:rsidR="002C2D47"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201</w:t>
      </w:r>
      <w:r w:rsidR="002C2D47" w:rsidRPr="006E19A0">
        <w:rPr>
          <w:rFonts w:ascii="Times New Roman" w:eastAsia="Arial Unicode MS" w:hAnsi="Times New Roman" w:cs="Times New Roman"/>
          <w:sz w:val="20"/>
          <w:szCs w:val="20"/>
          <w:lang w:val="en-GB"/>
        </w:rPr>
        <w:t>6</w:t>
      </w:r>
      <w:r w:rsidRPr="006E19A0">
        <w:rPr>
          <w:rFonts w:ascii="Times New Roman" w:eastAsia="Arial Unicode MS" w:hAnsi="Times New Roman" w:cs="Times New Roman"/>
          <w:sz w:val="20"/>
          <w:szCs w:val="20"/>
        </w:rPr>
        <w:t>). One part of Bonny light Crude Oil was added to 9 parts of distilled water (in a ratio of 10:1) in a bottle and mixed thoroughly with a rotatory magnetic stirrer for 20 hours at room temperature. The bottle was capped to minimize the evaporation of more volatile hydrocarbons. The stirring speed was adjusted so that the vortex was not extended more than 25% to the bottom of the container. Mixtures were allowed to rest for 12 hours to demarcate layers. Thereafter, a separating funnel was used to separate out the water-soluble fraction, which was corked as a stock solution in a 50cl capacity plastic container for use in the experiment.</w:t>
      </w:r>
    </w:p>
    <w:p w14:paraId="35D1723B" w14:textId="079930B7" w:rsidR="008C65A7" w:rsidRPr="006E19A0" w:rsidRDefault="00702AD9"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br/>
      </w:r>
      <w:r w:rsidR="008C65A7" w:rsidRPr="006E19A0">
        <w:rPr>
          <w:rFonts w:ascii="Times New Roman" w:eastAsia="Arial Unicode MS" w:hAnsi="Times New Roman" w:cs="Times New Roman"/>
          <w:b/>
          <w:sz w:val="20"/>
          <w:szCs w:val="20"/>
          <w:lang w:val="en-GB"/>
        </w:rPr>
        <w:t xml:space="preserve">2.3 </w:t>
      </w:r>
      <w:r w:rsidR="008C65A7" w:rsidRPr="006E19A0">
        <w:rPr>
          <w:rFonts w:ascii="Times New Roman" w:eastAsia="Arial Unicode MS" w:hAnsi="Times New Roman" w:cs="Times New Roman"/>
          <w:b/>
          <w:sz w:val="20"/>
          <w:szCs w:val="20"/>
        </w:rPr>
        <w:t>Determination of the water quality</w:t>
      </w:r>
      <w:r w:rsidR="008C65A7" w:rsidRPr="006E19A0">
        <w:rPr>
          <w:rStyle w:val="fontstyle01"/>
          <w:rFonts w:eastAsia="Arial Unicode MS"/>
        </w:rPr>
        <w:t xml:space="preserve"> </w:t>
      </w:r>
      <w:r w:rsidR="008C65A7" w:rsidRPr="006E19A0">
        <w:rPr>
          <w:rStyle w:val="fontstyle01"/>
          <w:rFonts w:eastAsia="Arial Unicode MS"/>
          <w:b/>
          <w:bCs/>
        </w:rPr>
        <w:t>of experimental water</w:t>
      </w:r>
      <w:r w:rsidR="008C65A7" w:rsidRPr="006E19A0">
        <w:rPr>
          <w:rFonts w:ascii="Times New Roman" w:eastAsia="Arial Unicode MS" w:hAnsi="Times New Roman" w:cs="Times New Roman"/>
          <w:b/>
          <w:sz w:val="20"/>
          <w:szCs w:val="20"/>
        </w:rPr>
        <w:t>.</w:t>
      </w:r>
    </w:p>
    <w:p w14:paraId="1152F018" w14:textId="37206E2D" w:rsidR="008C65A7" w:rsidRPr="006E19A0" w:rsidRDefault="008C65A7"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physicochemical parameters checked for the </w:t>
      </w:r>
      <w:r w:rsidRPr="006E19A0">
        <w:rPr>
          <w:rFonts w:ascii="Times New Roman" w:eastAsia="Arial Unicode MS" w:hAnsi="Times New Roman" w:cs="Times New Roman"/>
          <w:bCs/>
          <w:sz w:val="20"/>
          <w:szCs w:val="20"/>
        </w:rPr>
        <w:t>water quality</w:t>
      </w:r>
      <w:r w:rsidRPr="006E19A0">
        <w:rPr>
          <w:rStyle w:val="fontstyle01"/>
          <w:rFonts w:eastAsia="Arial Unicode MS"/>
        </w:rPr>
        <w:t xml:space="preserve"> </w:t>
      </w:r>
      <w:r w:rsidRPr="006E19A0">
        <w:rPr>
          <w:rFonts w:ascii="Times New Roman" w:eastAsia="Arial Unicode MS" w:hAnsi="Times New Roman" w:cs="Times New Roman"/>
          <w:sz w:val="20"/>
          <w:szCs w:val="20"/>
        </w:rPr>
        <w:t>were T</w:t>
      </w:r>
      <w:bookmarkStart w:id="1" w:name="_Hlk13476712"/>
      <w:r w:rsidRPr="006E19A0">
        <w:rPr>
          <w:rFonts w:ascii="Times New Roman" w:eastAsia="Arial Unicode MS" w:hAnsi="Times New Roman" w:cs="Times New Roman"/>
          <w:sz w:val="20"/>
          <w:szCs w:val="20"/>
        </w:rPr>
        <w:t>emperature, pH</w:t>
      </w:r>
      <w:bookmarkEnd w:id="1"/>
      <w:r w:rsidRPr="006E19A0">
        <w:rPr>
          <w:rFonts w:ascii="Times New Roman" w:eastAsia="Arial Unicode MS" w:hAnsi="Times New Roman" w:cs="Times New Roman"/>
          <w:sz w:val="20"/>
          <w:szCs w:val="20"/>
        </w:rPr>
        <w:t>, Conductivity, Dissolved Oxygen, and Total Dissolved Solid. The Dissolved oxygen was measured with the Milwaukee Dissolved oxygen meter. The Temperature (measured in degree Celsius (</w:t>
      </w:r>
      <m:oMath>
        <m:r>
          <w:rPr>
            <w:rFonts w:ascii="Cambria Math" w:eastAsia="Arial Unicode MS" w:hAnsi="Cambria Math" w:cs="Times New Roman"/>
            <w:sz w:val="20"/>
            <w:szCs w:val="20"/>
          </w:rPr>
          <m:t>℃</m:t>
        </m:r>
      </m:oMath>
      <w:r w:rsidRPr="006E19A0">
        <w:rPr>
          <w:rFonts w:ascii="Times New Roman" w:eastAsia="Arial Unicode MS" w:hAnsi="Times New Roman" w:cs="Times New Roman"/>
          <w:sz w:val="20"/>
          <w:szCs w:val="20"/>
        </w:rPr>
        <w:t xml:space="preserve">), </w:t>
      </w:r>
      <w:r w:rsidRPr="006E19A0">
        <w:rPr>
          <w:rFonts w:ascii="Times New Roman" w:eastAsia="Arial Unicode MS" w:hAnsi="Times New Roman" w:cs="Times New Roman"/>
          <w:bCs/>
          <w:sz w:val="20"/>
          <w:szCs w:val="20"/>
        </w:rPr>
        <w:t xml:space="preserve">Total Dissolved Solid (ppm), and </w:t>
      </w:r>
      <w:r w:rsidRPr="006E19A0">
        <w:rPr>
          <w:rFonts w:ascii="Times New Roman" w:eastAsia="Arial Unicode MS" w:hAnsi="Times New Roman" w:cs="Times New Roman"/>
          <w:sz w:val="20"/>
          <w:szCs w:val="20"/>
        </w:rPr>
        <w:t>Conductivity were measured in situ with a hand-held multimeter. The pH was measured using a hand-held pocket-sized pH meter (Milwaukee pH600</w:t>
      </w:r>
      <w:r w:rsidR="00410C8A" w:rsidRPr="006E19A0">
        <w:rPr>
          <w:rFonts w:ascii="Times New Roman" w:eastAsia="Arial Unicode MS" w:hAnsi="Times New Roman" w:cs="Times New Roman"/>
          <w:sz w:val="20"/>
          <w:szCs w:val="20"/>
          <w:lang w:val="en-GB"/>
        </w:rPr>
        <w:t xml:space="preserve"> model</w:t>
      </w:r>
      <w:r w:rsidRPr="006E19A0">
        <w:rPr>
          <w:rFonts w:ascii="Times New Roman" w:eastAsia="Arial Unicode MS" w:hAnsi="Times New Roman" w:cs="Times New Roman"/>
          <w:sz w:val="20"/>
          <w:szCs w:val="20"/>
        </w:rPr>
        <w:t>). The probe of the meter was inserted 15 cm into the experimental water and the meter was switched on and allowed to stabilize for 10 minutes. The reading was recorded when the reading became stable</w:t>
      </w:r>
    </w:p>
    <w:p w14:paraId="59AB29C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7430DE9E" w14:textId="11D95554" w:rsidR="00702AD9"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008C65A7" w:rsidRPr="006E19A0">
        <w:rPr>
          <w:rFonts w:ascii="Times New Roman" w:eastAsia="Arial Unicode MS" w:hAnsi="Times New Roman" w:cs="Times New Roman"/>
          <w:b/>
          <w:sz w:val="20"/>
          <w:szCs w:val="20"/>
          <w:lang w:val="en-GB"/>
        </w:rPr>
        <w:t>4</w:t>
      </w:r>
      <w:r w:rsidRPr="006E19A0">
        <w:rPr>
          <w:rFonts w:ascii="Times New Roman" w:eastAsia="Arial Unicode MS" w:hAnsi="Times New Roman" w:cs="Times New Roman"/>
          <w:b/>
          <w:sz w:val="20"/>
          <w:szCs w:val="20"/>
        </w:rPr>
        <w:t xml:space="preserve"> Range finding test </w:t>
      </w:r>
    </w:p>
    <w:p w14:paraId="1A06C243" w14:textId="150176A2" w:rsidR="002B35FE"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sz w:val="20"/>
          <w:szCs w:val="20"/>
        </w:rPr>
        <w:t>A preliminary test was carried out to establish a range of concentrations using a standard range-finding method.</w:t>
      </w:r>
      <w:r w:rsidRPr="006E19A0">
        <w:rPr>
          <w:rFonts w:ascii="Times New Roman" w:eastAsia="Arial Unicode MS" w:hAnsi="Times New Roman" w:cs="Times New Roman"/>
          <w:kern w:val="24"/>
          <w:sz w:val="20"/>
          <w:szCs w:val="20"/>
        </w:rPr>
        <w:t xml:space="preserve"> </w:t>
      </w:r>
      <w:r w:rsidRPr="006E19A0">
        <w:rPr>
          <w:rFonts w:ascii="Times New Roman" w:eastAsia="Arial Unicode MS" w:hAnsi="Times New Roman" w:cs="Times New Roman"/>
          <w:sz w:val="20"/>
          <w:szCs w:val="20"/>
        </w:rPr>
        <w:t>A preliminary test was carried out to establish ranges for the lethal concentration using six test concentrations and each triplicate with 10 juveniles of each crab per tank and was exposed for 24, 48, 72 and 96 hours during which mortality rate was estimated and the dead fish was removed to avoid contaminations.</w:t>
      </w:r>
    </w:p>
    <w:p w14:paraId="13FCD9F6" w14:textId="77777777" w:rsidR="00702AD9" w:rsidRPr="006E19A0" w:rsidRDefault="00702AD9" w:rsidP="00702AD9">
      <w:pPr>
        <w:spacing w:after="120" w:line="360" w:lineRule="auto"/>
        <w:contextualSpacing/>
        <w:jc w:val="both"/>
        <w:rPr>
          <w:rFonts w:ascii="Times New Roman" w:eastAsia="Arial Unicode MS" w:hAnsi="Times New Roman" w:cs="Times New Roman"/>
          <w:b/>
          <w:bCs/>
          <w:kern w:val="24"/>
          <w:sz w:val="20"/>
          <w:szCs w:val="20"/>
        </w:rPr>
      </w:pPr>
    </w:p>
    <w:p w14:paraId="0CFEC6E1" w14:textId="144F8719" w:rsidR="002B35FE" w:rsidRPr="006E19A0" w:rsidRDefault="002B35FE"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b/>
          <w:bCs/>
          <w:kern w:val="24"/>
          <w:sz w:val="20"/>
          <w:szCs w:val="20"/>
        </w:rPr>
        <w:lastRenderedPageBreak/>
        <w:t xml:space="preserve">2. </w:t>
      </w:r>
      <w:bookmarkStart w:id="2" w:name="_Hlk13475539"/>
      <w:r w:rsidR="00702AD9" w:rsidRPr="006E19A0">
        <w:rPr>
          <w:rFonts w:ascii="Times New Roman" w:eastAsia="Arial Unicode MS" w:hAnsi="Times New Roman" w:cs="Times New Roman"/>
          <w:b/>
          <w:bCs/>
          <w:kern w:val="24"/>
          <w:sz w:val="20"/>
          <w:szCs w:val="20"/>
        </w:rPr>
        <w:t xml:space="preserve">5 </w:t>
      </w:r>
      <w:r w:rsidRPr="006E19A0">
        <w:rPr>
          <w:rFonts w:ascii="Times New Roman" w:eastAsia="Arial Unicode MS" w:hAnsi="Times New Roman" w:cs="Times New Roman"/>
          <w:b/>
          <w:bCs/>
          <w:sz w:val="20"/>
          <w:szCs w:val="20"/>
        </w:rPr>
        <w:t>Definitive Acute Toxicity Test</w:t>
      </w:r>
    </w:p>
    <w:bookmarkEnd w:id="2"/>
    <w:p w14:paraId="25204DC1" w14:textId="3E56FDAB" w:rsidR="002B35FE" w:rsidRPr="006E19A0" w:rsidRDefault="002B35FE" w:rsidP="00702AD9">
      <w:pPr>
        <w:spacing w:after="120" w:line="360" w:lineRule="auto"/>
        <w:jc w:val="both"/>
        <w:rPr>
          <w:rFonts w:ascii="Times New Roman" w:eastAsia="Arial Unicode MS" w:hAnsi="Times New Roman" w:cs="Times New Roman"/>
          <w:b/>
          <w:bCs/>
          <w:sz w:val="20"/>
          <w:szCs w:val="20"/>
        </w:rPr>
      </w:pPr>
      <w:r w:rsidRPr="006E19A0">
        <w:rPr>
          <w:rFonts w:ascii="Times New Roman" w:eastAsia="Arial Unicode MS" w:hAnsi="Times New Roman" w:cs="Times New Roman"/>
          <w:sz w:val="20"/>
          <w:szCs w:val="20"/>
          <w:lang w:val="en-GB"/>
        </w:rPr>
        <w:t>Ten (</w:t>
      </w:r>
      <w:r w:rsidRPr="006E19A0">
        <w:rPr>
          <w:rFonts w:ascii="Times New Roman" w:eastAsia="Arial Unicode MS" w:hAnsi="Times New Roman" w:cs="Times New Roman"/>
          <w:sz w:val="20"/>
          <w:szCs w:val="20"/>
        </w:rPr>
        <w:t>10</w:t>
      </w:r>
      <w:r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active crab samples were randomly selected and put in each of the test concentrations. Each treatment was in triplicates. Each treatment group was exposed for 96 hours during which mortality was determined at 24-, 48-, 72- and 96-hour periods and dead ones were removed immediately to avoid pollution.  From the data, the concentration-response curves for mortality, the LC</w:t>
      </w:r>
      <w:r w:rsidRPr="006E19A0">
        <w:rPr>
          <w:rFonts w:ascii="Times New Roman" w:eastAsia="Arial Unicode MS" w:hAnsi="Times New Roman" w:cs="Times New Roman"/>
          <w:sz w:val="20"/>
          <w:szCs w:val="20"/>
          <w:vertAlign w:val="subscript"/>
        </w:rPr>
        <w:t>50</w:t>
      </w:r>
      <w:r w:rsidRPr="006E19A0">
        <w:rPr>
          <w:rFonts w:ascii="Times New Roman" w:eastAsia="Arial Unicode MS" w:hAnsi="Times New Roman" w:cs="Times New Roman"/>
          <w:sz w:val="20"/>
          <w:szCs w:val="20"/>
        </w:rPr>
        <w:t>’s, and the 95 per cent confidence intervals for test organisms at 24hr, 48hr, 72hr, and 96hr in a static system were recorded.</w:t>
      </w:r>
      <w:bookmarkStart w:id="3" w:name="_Hlk13476400"/>
    </w:p>
    <w:p w14:paraId="6590B2B6" w14:textId="77777777" w:rsidR="006E19A0" w:rsidRDefault="006E19A0" w:rsidP="00702AD9">
      <w:pPr>
        <w:autoSpaceDE w:val="0"/>
        <w:autoSpaceDN w:val="0"/>
        <w:adjustRightInd w:val="0"/>
        <w:spacing w:after="120" w:line="360" w:lineRule="auto"/>
        <w:jc w:val="both"/>
        <w:rPr>
          <w:rFonts w:ascii="Times New Roman" w:eastAsia="Arial Unicode MS" w:hAnsi="Times New Roman" w:cs="Times New Roman"/>
          <w:b/>
          <w:sz w:val="20"/>
          <w:szCs w:val="20"/>
          <w:lang w:val="en-GB"/>
        </w:rPr>
      </w:pPr>
    </w:p>
    <w:p w14:paraId="63539870" w14:textId="625B59CB" w:rsidR="002B35FE" w:rsidRPr="006E19A0" w:rsidRDefault="002B35FE" w:rsidP="00702AD9">
      <w:pPr>
        <w:autoSpaceDE w:val="0"/>
        <w:autoSpaceDN w:val="0"/>
        <w:adjustRightInd w:val="0"/>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00702AD9" w:rsidRPr="006E19A0">
        <w:rPr>
          <w:rFonts w:ascii="Times New Roman" w:eastAsia="Arial Unicode MS" w:hAnsi="Times New Roman" w:cs="Times New Roman"/>
          <w:b/>
          <w:sz w:val="20"/>
          <w:szCs w:val="20"/>
          <w:lang w:val="en-GB"/>
        </w:rPr>
        <w:t>6</w:t>
      </w:r>
      <w:r w:rsidRPr="006E19A0">
        <w:rPr>
          <w:rFonts w:ascii="Times New Roman" w:eastAsia="Arial Unicode MS" w:hAnsi="Times New Roman" w:cs="Times New Roman"/>
          <w:b/>
          <w:sz w:val="20"/>
          <w:szCs w:val="20"/>
        </w:rPr>
        <w:t xml:space="preserve"> Mortality Responses    </w:t>
      </w:r>
    </w:p>
    <w:bookmarkEnd w:id="3"/>
    <w:p w14:paraId="190BEACA" w14:textId="77777777" w:rsidR="002B35FE" w:rsidRPr="006E19A0" w:rsidRDefault="002B35FE" w:rsidP="00702AD9">
      <w:pPr>
        <w:spacing w:after="120" w:line="360" w:lineRule="auto"/>
        <w:contextualSpacing/>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sz w:val="20"/>
          <w:szCs w:val="20"/>
        </w:rPr>
        <w:t>The acute test was for 96 hours. The basic criterion for mortality was total lack of movement. They were confirmed dead if they remained immobile after prodding with forceps.</w:t>
      </w:r>
    </w:p>
    <w:p w14:paraId="5A86B93C" w14:textId="776459A1" w:rsidR="00BA25F2" w:rsidRPr="006E19A0" w:rsidRDefault="00BA25F2" w:rsidP="00702AD9">
      <w:pPr>
        <w:spacing w:after="120" w:line="360" w:lineRule="auto"/>
        <w:jc w:val="both"/>
        <w:rPr>
          <w:rFonts w:ascii="Times New Roman" w:hAnsi="Times New Roman" w:cs="Times New Roman"/>
          <w:b/>
          <w:bCs/>
          <w:sz w:val="20"/>
          <w:szCs w:val="20"/>
          <w:lang w:val="en-GB"/>
        </w:rPr>
      </w:pPr>
    </w:p>
    <w:p w14:paraId="79809DA1" w14:textId="101BD248" w:rsidR="008C65A7" w:rsidRPr="006E19A0" w:rsidRDefault="00702AD9"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 xml:space="preserve">3.0 </w:t>
      </w:r>
      <w:r w:rsidR="008C65A7" w:rsidRPr="006E19A0">
        <w:rPr>
          <w:rFonts w:ascii="Times New Roman" w:eastAsia="Arial Unicode MS" w:hAnsi="Times New Roman" w:cs="Times New Roman"/>
          <w:b/>
          <w:sz w:val="20"/>
          <w:szCs w:val="20"/>
        </w:rPr>
        <w:t>Results and Discussion</w:t>
      </w:r>
    </w:p>
    <w:p w14:paraId="562C1383" w14:textId="27AAC8A6"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w:t>
      </w:r>
      <w:r w:rsidR="008C65A7" w:rsidRPr="006E19A0">
        <w:rPr>
          <w:rFonts w:ascii="Times New Roman" w:eastAsia="Arial Unicode MS" w:hAnsi="Times New Roman" w:cs="Times New Roman"/>
          <w:b/>
          <w:sz w:val="20"/>
          <w:szCs w:val="20"/>
        </w:rPr>
        <w:tab/>
        <w:t>Results of Physicochemical Parameters of Water Samples</w:t>
      </w:r>
    </w:p>
    <w:p w14:paraId="73F56353" w14:textId="7FFD46D5"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.1.1</w:t>
      </w:r>
      <w:r w:rsidR="008C65A7" w:rsidRPr="006E19A0">
        <w:rPr>
          <w:rFonts w:ascii="Times New Roman" w:eastAsia="Arial Unicode MS" w:hAnsi="Times New Roman" w:cs="Times New Roman"/>
          <w:b/>
          <w:sz w:val="20"/>
          <w:szCs w:val="20"/>
        </w:rPr>
        <w:tab/>
        <w:t>pH</w:t>
      </w:r>
    </w:p>
    <w:p w14:paraId="27F06615" w14:textId="7C996120"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pH values of the water samples ranged from 5.34 to 6.87 in exposed</w:t>
      </w:r>
      <w:r w:rsidRPr="006E19A0">
        <w:rPr>
          <w:rFonts w:ascii="Times New Roman" w:eastAsia="Arial Unicode MS" w:hAnsi="Times New Roman" w:cs="Times New Roman"/>
          <w:i/>
          <w:sz w:val="20"/>
          <w:szCs w:val="20"/>
        </w:rPr>
        <w:t xml:space="preserve"> Uca tangeri</w:t>
      </w:r>
      <w:r w:rsidR="00DF630C"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The pH values obtained in the water samples were found to be lower in values than the pH value obtained in the control water sample. The pH values obtained for the analysed water samples (concentration of 5 mg/l and the control water samples were found to be within the WHO permissible limit (6.5 to 8.5) for drinking water except for the water samples collected at other studied concentrations (10 mg/L, 15 mg/L, 20 mg/L and 25 mg/L) where the pH values were not within the WHO permissible limit. The acidity of the water samples was found to increase as the test concentrations was increased. The variation in the pH values could be activities of the crabs in the water samples. The variation in the pH values could be due to the differences in the release and composition of pollutants in the water. </w:t>
      </w:r>
      <w:r w:rsidR="002A1550" w:rsidRPr="006E19A0">
        <w:rPr>
          <w:rFonts w:ascii="Times New Roman" w:eastAsia="Arial Unicode MS" w:hAnsi="Times New Roman" w:cs="Times New Roman"/>
          <w:sz w:val="20"/>
          <w:szCs w:val="20"/>
          <w:lang w:val="en-GB"/>
        </w:rPr>
        <w:t xml:space="preserve">Studies have also shown that </w:t>
      </w:r>
      <w:r w:rsidRPr="006E19A0">
        <w:rPr>
          <w:rFonts w:ascii="Times New Roman" w:eastAsia="Arial Unicode MS" w:hAnsi="Times New Roman" w:cs="Times New Roman"/>
          <w:sz w:val="20"/>
          <w:szCs w:val="20"/>
        </w:rPr>
        <w:t>low pH in surface and groundwater could be due to natural geochemical and biochemical processes within the acquifers and also possibly due to the effect of dissolution of acid associated with discharges from the processing facilities</w:t>
      </w:r>
      <w:r w:rsidR="007B3231" w:rsidRPr="006E19A0">
        <w:rPr>
          <w:rFonts w:ascii="Times New Roman" w:eastAsia="Arial Unicode MS" w:hAnsi="Times New Roman" w:cs="Times New Roman"/>
          <w:sz w:val="20"/>
          <w:szCs w:val="20"/>
          <w:lang w:val="en-GB"/>
        </w:rPr>
        <w:t xml:space="preserve"> (</w:t>
      </w:r>
      <w:proofErr w:type="spellStart"/>
      <w:r w:rsidR="007B3231" w:rsidRPr="006E19A0">
        <w:rPr>
          <w:rFonts w:ascii="Times New Roman" w:eastAsia="Arial Unicode MS" w:hAnsi="Times New Roman" w:cs="Times New Roman"/>
          <w:sz w:val="20"/>
          <w:szCs w:val="20"/>
          <w:lang w:val="en-GB"/>
        </w:rPr>
        <w:t>Ighalo</w:t>
      </w:r>
      <w:proofErr w:type="spellEnd"/>
      <w:r w:rsidR="007B3231" w:rsidRPr="006E19A0">
        <w:rPr>
          <w:rFonts w:ascii="Times New Roman" w:eastAsia="Arial Unicode MS" w:hAnsi="Times New Roman" w:cs="Times New Roman"/>
          <w:sz w:val="20"/>
          <w:szCs w:val="20"/>
          <w:lang w:val="en-GB"/>
        </w:rPr>
        <w:t xml:space="preserve"> and Adeniyi, 2020).</w:t>
      </w:r>
      <w:r w:rsidR="002A1550"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 xml:space="preserve">Wang et al., (2002) reported that metabolic activities of aquatic organisms are also dependent on the pH values. The pH of a water body is very important because it has effect on the organisms living in the aquatic ecosystem </w:t>
      </w:r>
      <w:r w:rsidR="007B3231"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Tepe and Boyd, 2002). According to Ramanathan et al., (2005), pH is one of the vital environmental characteristics that decide the survival, metabolism, physiology and growth of aquatic organisms. It is influenced by acidity of the bottom sediment and biological activities. High pH may result from high rate of photosynthesis by dense phytoplankton blooms. pH greater than 7 but less than 8.5 is ideal for biological productivity while pH &lt; 4 is detrimental to aquatic life and pH is affected by total alkalinity, acidity, runoff from surrounding rocks and water discharges (Abowei, 2010</w:t>
      </w:r>
      <w:r w:rsidR="003A2759" w:rsidRPr="006E19A0">
        <w:rPr>
          <w:rFonts w:ascii="Times New Roman" w:eastAsia="Arial Unicode MS" w:hAnsi="Times New Roman" w:cs="Times New Roman"/>
          <w:sz w:val="20"/>
          <w:szCs w:val="20"/>
          <w:lang w:val="en-GB"/>
        </w:rPr>
        <w:t xml:space="preserve">; Nduka et al., 2016; </w:t>
      </w:r>
      <w:proofErr w:type="spellStart"/>
      <w:r w:rsidR="003A2759" w:rsidRPr="006E19A0">
        <w:rPr>
          <w:rFonts w:ascii="Times New Roman" w:eastAsia="Arial Unicode MS" w:hAnsi="Times New Roman" w:cs="Times New Roman"/>
          <w:sz w:val="20"/>
          <w:szCs w:val="20"/>
          <w:lang w:val="en-GB"/>
        </w:rPr>
        <w:t>Nahhal</w:t>
      </w:r>
      <w:proofErr w:type="spellEnd"/>
      <w:r w:rsidR="003A2759" w:rsidRPr="006E19A0">
        <w:rPr>
          <w:rFonts w:ascii="Times New Roman" w:eastAsia="Arial Unicode MS" w:hAnsi="Times New Roman" w:cs="Times New Roman"/>
          <w:sz w:val="20"/>
          <w:szCs w:val="20"/>
          <w:lang w:val="en-GB"/>
        </w:rPr>
        <w:t xml:space="preserve"> et al., 2021</w:t>
      </w:r>
      <w:r w:rsidRPr="006E19A0">
        <w:rPr>
          <w:rFonts w:ascii="Times New Roman" w:eastAsia="Arial Unicode MS" w:hAnsi="Times New Roman" w:cs="Times New Roman"/>
          <w:sz w:val="20"/>
          <w:szCs w:val="20"/>
        </w:rPr>
        <w:t xml:space="preserve">). </w:t>
      </w:r>
    </w:p>
    <w:p w14:paraId="4C890214"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3F2199EC"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071AD8B7"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noProof/>
          <w:sz w:val="20"/>
          <w:szCs w:val="20"/>
        </w:rPr>
        <w:lastRenderedPageBreak/>
        <w:drawing>
          <wp:inline distT="0" distB="0" distL="0" distR="0" wp14:anchorId="3BF7A8A4" wp14:editId="270D7425">
            <wp:extent cx="5796915" cy="3674745"/>
            <wp:effectExtent l="0" t="0" r="13335" b="209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F8A020" w14:textId="52B9823E"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Figure 1</w:t>
      </w:r>
      <w:r w:rsidRPr="006E19A0">
        <w:rPr>
          <w:rFonts w:ascii="Times New Roman" w:eastAsia="Arial Unicode MS" w:hAnsi="Times New Roman" w:cs="Times New Roman"/>
          <w:sz w:val="20"/>
          <w:szCs w:val="20"/>
        </w:rPr>
        <w:tab/>
        <w:t>pH values of the analysed Water Samples</w:t>
      </w:r>
    </w:p>
    <w:p w14:paraId="3685B75A"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42D7DAAD" w14:textId="4CE98CC8"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.1.2</w:t>
      </w:r>
      <w:r w:rsidR="008C65A7" w:rsidRPr="006E19A0">
        <w:rPr>
          <w:rFonts w:ascii="Times New Roman" w:eastAsia="Arial Unicode MS" w:hAnsi="Times New Roman" w:cs="Times New Roman"/>
          <w:b/>
          <w:sz w:val="20"/>
          <w:szCs w:val="20"/>
        </w:rPr>
        <w:tab/>
        <w:t>Conductivity</w:t>
      </w:r>
    </w:p>
    <w:p w14:paraId="6DECF6A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conductivity values of the water samples exposed</w:t>
      </w:r>
      <w:r w:rsidRPr="006E19A0">
        <w:rPr>
          <w:rFonts w:ascii="Times New Roman" w:eastAsia="Arial Unicode MS" w:hAnsi="Times New Roman" w:cs="Times New Roman"/>
          <w:i/>
          <w:sz w:val="20"/>
          <w:szCs w:val="20"/>
        </w:rPr>
        <w:t xml:space="preserve"> Uca tangeri</w:t>
      </w:r>
      <w:r w:rsidRPr="006E19A0">
        <w:rPr>
          <w:rFonts w:ascii="Times New Roman" w:eastAsia="Arial Unicode MS" w:hAnsi="Times New Roman" w:cs="Times New Roman"/>
          <w:sz w:val="20"/>
          <w:szCs w:val="20"/>
        </w:rPr>
        <w:t xml:space="preserve"> ranged from 267 to 513.1 µS/cm while the conductivity values in exposed </w:t>
      </w:r>
      <w:r w:rsidRPr="006E19A0">
        <w:rPr>
          <w:rFonts w:ascii="Times New Roman" w:eastAsia="Arial Unicode MS" w:hAnsi="Times New Roman" w:cs="Times New Roman"/>
          <w:i/>
          <w:sz w:val="20"/>
          <w:szCs w:val="20"/>
        </w:rPr>
        <w:t>Sesarma huzardii</w:t>
      </w:r>
      <w:r w:rsidRPr="006E19A0">
        <w:rPr>
          <w:rFonts w:ascii="Times New Roman" w:eastAsia="Arial Unicode MS" w:hAnsi="Times New Roman" w:cs="Times New Roman"/>
          <w:sz w:val="20"/>
          <w:szCs w:val="20"/>
        </w:rPr>
        <w:t xml:space="preserve"> ranged from 329.2 to 518.1 µS/cm as shown in Figure 2. The conductivity values obtained in the analysed water samples were found to be below the WHO permissible limit (500 µS/cm) in drinking water except for test concentration five where the conductivity value was found to exceed the WHO permissible limit. The electrical conductivity of water is an important parameter for determining the suitability of water for irrigation and is a useful indicator of the salinity or total salt content of effluents. The conductivity of receiving water is a function of the concentration of soluble ionic salts present in the effluent. Thus, an increase in the salinity of a receiving water body is a result of a high concentration of ionic salts in the effluent (Morrison et al.,</w:t>
      </w:r>
      <w:r w:rsidRPr="006E19A0">
        <w:rPr>
          <w:rFonts w:ascii="Times New Roman" w:eastAsia="Arial Unicode MS" w:hAnsi="Times New Roman" w:cs="Times New Roman"/>
          <w:i/>
          <w:sz w:val="20"/>
          <w:szCs w:val="20"/>
        </w:rPr>
        <w:t xml:space="preserve"> </w:t>
      </w:r>
      <w:r w:rsidRPr="006E19A0">
        <w:rPr>
          <w:rFonts w:ascii="Times New Roman" w:eastAsia="Arial Unicode MS" w:hAnsi="Times New Roman" w:cs="Times New Roman"/>
          <w:sz w:val="20"/>
          <w:szCs w:val="20"/>
        </w:rPr>
        <w:t>2011). High conductivity value in test concentration five could be due to high number of ions in the water sample.</w:t>
      </w:r>
    </w:p>
    <w:p w14:paraId="36BFAD1A"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4A2D7DBE" wp14:editId="4E3DB4BE">
            <wp:extent cx="5796915" cy="3364230"/>
            <wp:effectExtent l="0" t="0" r="13335"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609416" w14:textId="24D467EB"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2</w:t>
      </w:r>
      <w:r w:rsidRPr="006E19A0">
        <w:rPr>
          <w:rFonts w:ascii="Times New Roman" w:eastAsia="Arial Unicode MS" w:hAnsi="Times New Roman" w:cs="Times New Roman"/>
          <w:sz w:val="20"/>
          <w:szCs w:val="20"/>
        </w:rPr>
        <w:tab/>
        <w:t>Conductivity values of the analysed Water Samples</w:t>
      </w:r>
    </w:p>
    <w:p w14:paraId="7E1E016E"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6029D976" w14:textId="198964D2"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.1.3</w:t>
      </w:r>
      <w:r w:rsidR="008C65A7" w:rsidRPr="006E19A0">
        <w:rPr>
          <w:rFonts w:ascii="Times New Roman" w:eastAsia="Arial Unicode MS" w:hAnsi="Times New Roman" w:cs="Times New Roman"/>
          <w:b/>
          <w:sz w:val="20"/>
          <w:szCs w:val="20"/>
        </w:rPr>
        <w:tab/>
        <w:t>Dissolved Oxygen (DO)</w:t>
      </w:r>
    </w:p>
    <w:p w14:paraId="4088717D" w14:textId="21123B20"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DO values of the analysed water samples exposed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2.72 to 6.23 mg/L</w:t>
      </w:r>
      <w:r w:rsidR="00CE735C"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 xml:space="preserve">The results showed the DO values to be within the WHO permissible limit (4.0 mg/L) of DO in drinking water except for test concentration three to five </w:t>
      </w:r>
      <w:r w:rsidR="00CE735C" w:rsidRPr="006E19A0">
        <w:rPr>
          <w:rFonts w:ascii="Times New Roman" w:eastAsia="Arial Unicode MS" w:hAnsi="Times New Roman" w:cs="Times New Roman"/>
          <w:sz w:val="20"/>
          <w:szCs w:val="20"/>
        </w:rPr>
        <w:t>where</w:t>
      </w:r>
      <w:r w:rsidRPr="006E19A0">
        <w:rPr>
          <w:rFonts w:ascii="Times New Roman" w:eastAsia="Arial Unicode MS" w:hAnsi="Times New Roman" w:cs="Times New Roman"/>
          <w:sz w:val="20"/>
          <w:szCs w:val="20"/>
        </w:rPr>
        <w:t xml:space="preserve"> the DO values were not within the WHO permissible limit of DO in water. The lowest DO value was reported in test concentration five while the highest DO value was reported in the control water sample. Low DO could lead to death of the crabs as the survival of the organisms’ survival could be very low. Low dissolved oxygen (DO) could primarily result from excessive algae growth caused by phosphorus. Nitrogen is another nutrient that could contribute to algae growth as the algae die and decompose, the process consumes dissolved oxygen. The DO values obtained in this study were found not to be close to the DO values reported in the study by Gallo-Corredor et al., (202</w:t>
      </w:r>
      <w:r w:rsidR="00127C18" w:rsidRPr="006E19A0">
        <w:rPr>
          <w:rFonts w:ascii="Times New Roman" w:eastAsia="Arial Unicode MS" w:hAnsi="Times New Roman" w:cs="Times New Roman"/>
          <w:sz w:val="20"/>
          <w:szCs w:val="20"/>
          <w:lang w:val="en-GB"/>
        </w:rPr>
        <w:t>1</w:t>
      </w:r>
      <w:r w:rsidRPr="006E19A0">
        <w:rPr>
          <w:rFonts w:ascii="Times New Roman" w:eastAsia="Arial Unicode MS" w:hAnsi="Times New Roman" w:cs="Times New Roman"/>
          <w:sz w:val="20"/>
          <w:szCs w:val="20"/>
        </w:rPr>
        <w:t>) in the analysed water samples where they reported DO concentration ranging from 6.80 to 7.77 mg/L. The implication of the DO values in the surface water of the sampling sites is that aquatic organisms will be well impacted. Organisms such as fish found in these environments are prone to contaminants especially PTMs in the water. These PTMs could bioaccumulate in the organisms which in turn can be transferred to human from the consumption of such organism</w:t>
      </w:r>
      <w:r w:rsidR="00127C18" w:rsidRPr="006E19A0">
        <w:rPr>
          <w:rFonts w:ascii="Times New Roman" w:eastAsia="Arial Unicode MS" w:hAnsi="Times New Roman" w:cs="Times New Roman"/>
          <w:sz w:val="20"/>
          <w:szCs w:val="20"/>
          <w:lang w:val="en-GB"/>
        </w:rPr>
        <w:t>s like</w:t>
      </w:r>
      <w:r w:rsidRPr="006E19A0">
        <w:rPr>
          <w:rFonts w:ascii="Times New Roman" w:eastAsia="Arial Unicode MS" w:hAnsi="Times New Roman" w:cs="Times New Roman"/>
          <w:sz w:val="20"/>
          <w:szCs w:val="20"/>
        </w:rPr>
        <w:t xml:space="preserve"> fish. </w:t>
      </w:r>
    </w:p>
    <w:p w14:paraId="4D76984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 </w:t>
      </w:r>
    </w:p>
    <w:p w14:paraId="59BCF41F" w14:textId="009BF2B5"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However, low DO values are an indication of unsuitability of the water for the survival of aquatic organisms as it could lead to the death of aquatic organisms (Wilén, 2010). DO is an indication of the physical, chemical and biological processes that are taking place in water</w:t>
      </w:r>
      <w:r w:rsidR="00CE735C" w:rsidRPr="006E19A0">
        <w:rPr>
          <w:rFonts w:ascii="Times New Roman" w:eastAsia="Arial Unicode MS" w:hAnsi="Times New Roman" w:cs="Times New Roman"/>
          <w:sz w:val="20"/>
          <w:szCs w:val="20"/>
          <w:lang w:val="en-GB"/>
        </w:rPr>
        <w:t xml:space="preserve"> </w:t>
      </w:r>
      <w:r w:rsidR="00CE735C" w:rsidRPr="006E19A0">
        <w:rPr>
          <w:rFonts w:ascii="Times New Roman" w:hAnsi="Times New Roman" w:cs="Times New Roman"/>
          <w:sz w:val="20"/>
          <w:szCs w:val="20"/>
        </w:rPr>
        <w:t>Wilén</w:t>
      </w:r>
      <w:r w:rsidR="00CE735C" w:rsidRPr="006E19A0">
        <w:rPr>
          <w:rFonts w:ascii="Times New Roman" w:hAnsi="Times New Roman" w:cs="Times New Roman"/>
          <w:sz w:val="20"/>
          <w:szCs w:val="20"/>
          <w:lang w:val="en-GB"/>
        </w:rPr>
        <w:t xml:space="preserve"> and </w:t>
      </w:r>
      <w:r w:rsidR="00CE735C" w:rsidRPr="006E19A0">
        <w:rPr>
          <w:rFonts w:ascii="Times New Roman" w:hAnsi="Times New Roman" w:cs="Times New Roman"/>
          <w:sz w:val="20"/>
          <w:szCs w:val="20"/>
        </w:rPr>
        <w:t>Balmér</w:t>
      </w:r>
      <w:r w:rsidR="00CE735C" w:rsidRPr="006E19A0">
        <w:rPr>
          <w:rFonts w:ascii="Times New Roman" w:hAnsi="Times New Roman" w:cs="Times New Roman"/>
          <w:sz w:val="20"/>
          <w:szCs w:val="20"/>
          <w:lang w:val="en-GB"/>
        </w:rPr>
        <w:t xml:space="preserve"> (1999)</w:t>
      </w:r>
      <w:r w:rsidRPr="006E19A0">
        <w:rPr>
          <w:rFonts w:ascii="Times New Roman" w:eastAsia="Arial Unicode MS" w:hAnsi="Times New Roman" w:cs="Times New Roman"/>
          <w:sz w:val="20"/>
          <w:szCs w:val="20"/>
        </w:rPr>
        <w:t>. It is an important parameter for investigating water quality because of its impact on organisms living in water. Too low level of DO could affect water quality and endanger aquatic life (</w:t>
      </w:r>
      <w:r w:rsidR="00DB0C4F" w:rsidRPr="006E19A0">
        <w:rPr>
          <w:rFonts w:ascii="Times New Roman" w:eastAsia="Arial Unicode MS" w:hAnsi="Times New Roman" w:cs="Times New Roman"/>
          <w:sz w:val="20"/>
          <w:szCs w:val="20"/>
          <w:lang w:val="en-GB"/>
        </w:rPr>
        <w:t>Lage et al., 2021</w:t>
      </w:r>
      <w:r w:rsidR="006A19F9" w:rsidRPr="006E19A0">
        <w:rPr>
          <w:rFonts w:ascii="Times New Roman" w:eastAsia="Arial Unicode MS" w:hAnsi="Times New Roman" w:cs="Times New Roman"/>
          <w:sz w:val="20"/>
          <w:szCs w:val="20"/>
          <w:lang w:val="en-GB"/>
        </w:rPr>
        <w:t>; Ali et al., 2022</w:t>
      </w:r>
      <w:r w:rsidRPr="006E19A0">
        <w:rPr>
          <w:rFonts w:ascii="Times New Roman" w:eastAsia="Arial Unicode MS" w:hAnsi="Times New Roman" w:cs="Times New Roman"/>
          <w:sz w:val="20"/>
          <w:szCs w:val="20"/>
        </w:rPr>
        <w:t>).</w:t>
      </w:r>
    </w:p>
    <w:p w14:paraId="40EE2DAA"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0C5ABBE3"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noProof/>
          <w:sz w:val="20"/>
          <w:szCs w:val="20"/>
        </w:rPr>
        <w:drawing>
          <wp:inline distT="0" distB="0" distL="0" distR="0" wp14:anchorId="304BCB3F" wp14:editId="66C0EAC7">
            <wp:extent cx="5538470" cy="3924935"/>
            <wp:effectExtent l="0" t="0" r="2413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DA6CB6" w14:textId="2DB0C58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3</w:t>
      </w:r>
      <w:r w:rsidRPr="006E19A0">
        <w:rPr>
          <w:rFonts w:ascii="Times New Roman" w:eastAsia="Arial Unicode MS" w:hAnsi="Times New Roman" w:cs="Times New Roman"/>
          <w:sz w:val="20"/>
          <w:szCs w:val="20"/>
        </w:rPr>
        <w:tab/>
        <w:t>Conductivity values of the analysed Water Samples</w:t>
      </w:r>
    </w:p>
    <w:p w14:paraId="526AFBA0" w14:textId="77777777" w:rsidR="00706CDC" w:rsidRPr="006E19A0" w:rsidRDefault="00706CDC" w:rsidP="00702AD9">
      <w:pPr>
        <w:spacing w:after="120" w:line="360" w:lineRule="auto"/>
        <w:jc w:val="both"/>
        <w:rPr>
          <w:rFonts w:ascii="Times New Roman" w:eastAsia="Arial Unicode MS" w:hAnsi="Times New Roman" w:cs="Times New Roman"/>
          <w:b/>
          <w:sz w:val="20"/>
          <w:szCs w:val="20"/>
          <w:lang w:val="en-GB"/>
        </w:rPr>
      </w:pPr>
    </w:p>
    <w:p w14:paraId="38896B78" w14:textId="12C95FC0"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.1.4</w:t>
      </w:r>
      <w:r w:rsidR="008C65A7" w:rsidRPr="006E19A0">
        <w:rPr>
          <w:rFonts w:ascii="Times New Roman" w:eastAsia="Arial Unicode MS" w:hAnsi="Times New Roman" w:cs="Times New Roman"/>
          <w:b/>
          <w:sz w:val="20"/>
          <w:szCs w:val="20"/>
        </w:rPr>
        <w:tab/>
        <w:t>Total Dissolved Solids (TDS)</w:t>
      </w:r>
    </w:p>
    <w:p w14:paraId="0AECB3E9" w14:textId="49C9011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TDS concentrations of the water samples exposed to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148.7 to 193 mg/L</w:t>
      </w:r>
      <w:r w:rsidR="00E3347D"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w:t>
      </w:r>
      <w:r w:rsidR="00A06817" w:rsidRPr="006E19A0">
        <w:rPr>
          <w:rFonts w:ascii="Times New Roman" w:eastAsia="Arial Unicode MS" w:hAnsi="Times New Roman" w:cs="Times New Roman"/>
          <w:sz w:val="20"/>
          <w:szCs w:val="20"/>
          <w:lang w:val="en-GB"/>
        </w:rPr>
        <w:t xml:space="preserve">For </w:t>
      </w:r>
      <w:r w:rsidR="00E3347D" w:rsidRPr="006E19A0">
        <w:rPr>
          <w:rFonts w:ascii="Times New Roman" w:eastAsia="Arial Unicode MS" w:hAnsi="Times New Roman" w:cs="Times New Roman"/>
          <w:sz w:val="20"/>
          <w:szCs w:val="20"/>
          <w:lang w:val="en-GB"/>
        </w:rPr>
        <w:t xml:space="preserve">the </w:t>
      </w:r>
      <w:proofErr w:type="spellStart"/>
      <w:r w:rsidR="00E3347D" w:rsidRPr="006E19A0">
        <w:rPr>
          <w:rFonts w:ascii="Times New Roman" w:eastAsia="Arial Unicode MS" w:hAnsi="Times New Roman" w:cs="Times New Roman"/>
          <w:sz w:val="20"/>
          <w:szCs w:val="20"/>
          <w:lang w:val="en-GB"/>
        </w:rPr>
        <w:t>esposed</w:t>
      </w:r>
      <w:proofErr w:type="spellEnd"/>
      <w:r w:rsidR="00E3347D" w:rsidRPr="006E19A0">
        <w:rPr>
          <w:rFonts w:ascii="Times New Roman" w:eastAsia="Arial Unicode MS" w:hAnsi="Times New Roman" w:cs="Times New Roman"/>
          <w:sz w:val="20"/>
          <w:szCs w:val="20"/>
          <w:lang w:val="en-GB"/>
        </w:rPr>
        <w:t xml:space="preserve"> </w:t>
      </w:r>
      <w:proofErr w:type="spellStart"/>
      <w:r w:rsidRPr="006E19A0">
        <w:rPr>
          <w:rFonts w:ascii="Times New Roman" w:eastAsia="Arial Unicode MS" w:hAnsi="Times New Roman" w:cs="Times New Roman"/>
          <w:i/>
          <w:sz w:val="20"/>
          <w:szCs w:val="20"/>
        </w:rPr>
        <w:t>Uca</w:t>
      </w:r>
      <w:proofErr w:type="spellEnd"/>
      <w:r w:rsidRPr="006E19A0">
        <w:rPr>
          <w:rFonts w:ascii="Times New Roman" w:eastAsia="Arial Unicode MS" w:hAnsi="Times New Roman" w:cs="Times New Roman"/>
          <w:i/>
          <w:sz w:val="20"/>
          <w:szCs w:val="20"/>
        </w:rPr>
        <w:t xml:space="preserve"> </w:t>
      </w:r>
      <w:proofErr w:type="spellStart"/>
      <w:r w:rsidRPr="006E19A0">
        <w:rPr>
          <w:rFonts w:ascii="Times New Roman" w:eastAsia="Arial Unicode MS" w:hAnsi="Times New Roman" w:cs="Times New Roman"/>
          <w:i/>
          <w:sz w:val="20"/>
          <w:szCs w:val="20"/>
        </w:rPr>
        <w:t>tangeri</w:t>
      </w:r>
      <w:proofErr w:type="spellEnd"/>
      <w:r w:rsidRPr="006E19A0">
        <w:rPr>
          <w:rFonts w:ascii="Times New Roman" w:eastAsia="Arial Unicode MS" w:hAnsi="Times New Roman" w:cs="Times New Roman"/>
          <w:sz w:val="20"/>
          <w:szCs w:val="20"/>
        </w:rPr>
        <w:t xml:space="preserve"> exposed, the highest TDS concentration was obtained in test concentration five (193 mg/L), followed by test concentration four (183.97 mg/L) while the least concentration was found in the control water sample (148.7 mg/L). In </w:t>
      </w:r>
      <w:r w:rsidRPr="006E19A0">
        <w:rPr>
          <w:rFonts w:ascii="Times New Roman" w:eastAsia="Arial Unicode MS" w:hAnsi="Times New Roman" w:cs="Times New Roman"/>
          <w:i/>
          <w:sz w:val="20"/>
          <w:szCs w:val="20"/>
        </w:rPr>
        <w:t>Sesarma huzardii</w:t>
      </w:r>
      <w:r w:rsidRPr="006E19A0">
        <w:rPr>
          <w:rFonts w:ascii="Times New Roman" w:eastAsia="Arial Unicode MS" w:hAnsi="Times New Roman" w:cs="Times New Roman"/>
          <w:sz w:val="20"/>
          <w:szCs w:val="20"/>
        </w:rPr>
        <w:t xml:space="preserve"> exposed water samples, the highest TDS concentration was obtained in test concentration five (216.1 mg/L), followed by test concentration four (203.6 mg/L) while the least concentration was found in the control water sample (146.5 mg/L) as seen in Figure 4. The TDS value obtained in the analysed water samples were found to be below the WHO permissible limit (500 mg/L) for TDS in drinking water. The highest TDS value was obtained in Increased TDS could be attributed to seepage of effluent discharges, agriculture and domestic wastes, surface run-off of water containing bicarbonates, chlorides, nitrate, sodium, potassium, calcium and magnesium and these could result to hard water (</w:t>
      </w:r>
      <w:r w:rsidR="00E3347D" w:rsidRPr="006E19A0">
        <w:rPr>
          <w:rFonts w:ascii="Times New Roman" w:eastAsia="Arial Unicode MS" w:hAnsi="Times New Roman" w:cs="Times New Roman"/>
          <w:sz w:val="20"/>
          <w:szCs w:val="20"/>
          <w:lang w:val="en-GB"/>
        </w:rPr>
        <w:t>Lager et al., 2021</w:t>
      </w:r>
      <w:r w:rsidRPr="006E19A0">
        <w:rPr>
          <w:rFonts w:ascii="Times New Roman" w:eastAsia="Arial Unicode MS" w:hAnsi="Times New Roman" w:cs="Times New Roman"/>
          <w:sz w:val="20"/>
          <w:szCs w:val="20"/>
        </w:rPr>
        <w:t>). According to Karikari and Ansa-Asare (2006), the suitability of water with TDS level less than 600 mg/L is considered to be good whereas water with TDS above 1200 mg/L becomes increasingly unsuitable.</w:t>
      </w:r>
    </w:p>
    <w:p w14:paraId="35BEB8E7"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11FBCBA8" wp14:editId="03C0AD13">
            <wp:extent cx="5408930" cy="4011295"/>
            <wp:effectExtent l="0" t="0" r="20320"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845CA" w14:textId="3BB9FD06"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4</w:t>
      </w:r>
      <w:r w:rsidRPr="006E19A0">
        <w:rPr>
          <w:rFonts w:ascii="Times New Roman" w:eastAsia="Arial Unicode MS" w:hAnsi="Times New Roman" w:cs="Times New Roman"/>
          <w:sz w:val="20"/>
          <w:szCs w:val="20"/>
        </w:rPr>
        <w:tab/>
        <w:t>TDS values of the analysed Water Samples</w:t>
      </w:r>
    </w:p>
    <w:p w14:paraId="4E2A485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472662D0"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26A98F4B"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51EAFFE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3F67D141"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0CD3750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273D027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7DAA97C1"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148CB0C4" w14:textId="671E1949"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.1.5</w:t>
      </w:r>
      <w:r w:rsidR="008C65A7" w:rsidRPr="006E19A0">
        <w:rPr>
          <w:rFonts w:ascii="Times New Roman" w:eastAsia="Arial Unicode MS" w:hAnsi="Times New Roman" w:cs="Times New Roman"/>
          <w:b/>
          <w:sz w:val="20"/>
          <w:szCs w:val="20"/>
        </w:rPr>
        <w:tab/>
        <w:t>Temperature</w:t>
      </w:r>
    </w:p>
    <w:p w14:paraId="7466072C" w14:textId="51A8E8E1" w:rsidR="008C65A7" w:rsidRPr="006E19A0" w:rsidRDefault="008C65A7" w:rsidP="00702AD9">
      <w:pPr>
        <w:spacing w:after="120" w:line="360" w:lineRule="auto"/>
        <w:jc w:val="both"/>
        <w:rPr>
          <w:rFonts w:ascii="Times New Roman" w:eastAsia="Arial Unicode MS" w:hAnsi="Times New Roman" w:cs="Times New Roman"/>
          <w:sz w:val="20"/>
          <w:szCs w:val="20"/>
          <w:lang w:val="en-GB"/>
        </w:rPr>
      </w:pPr>
      <w:r w:rsidRPr="006E19A0">
        <w:rPr>
          <w:rFonts w:ascii="Times New Roman" w:eastAsia="Arial Unicode MS" w:hAnsi="Times New Roman" w:cs="Times New Roman"/>
          <w:sz w:val="20"/>
          <w:szCs w:val="20"/>
        </w:rPr>
        <w:t xml:space="preserve">The temperature of the water samples exposed to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26.32 to 28.7 </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 xml:space="preserve">C. In </w:t>
      </w:r>
      <w:r w:rsidR="006D6B15" w:rsidRPr="006E19A0">
        <w:rPr>
          <w:rFonts w:ascii="Times New Roman" w:eastAsia="Arial Unicode MS" w:hAnsi="Times New Roman" w:cs="Times New Roman"/>
          <w:sz w:val="20"/>
          <w:szCs w:val="20"/>
          <w:lang w:val="en-GB"/>
        </w:rPr>
        <w:t xml:space="preserve">the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exposed water samples, the highest temperature value w</w:t>
      </w:r>
      <w:r w:rsidR="006D6B15" w:rsidRPr="006E19A0">
        <w:rPr>
          <w:rFonts w:ascii="Times New Roman" w:eastAsia="Arial Unicode MS" w:hAnsi="Times New Roman" w:cs="Times New Roman"/>
          <w:sz w:val="20"/>
          <w:szCs w:val="20"/>
          <w:lang w:val="en-GB"/>
        </w:rPr>
        <w:t>as</w:t>
      </w:r>
      <w:r w:rsidRPr="006E19A0">
        <w:rPr>
          <w:rFonts w:ascii="Times New Roman" w:eastAsia="Arial Unicode MS" w:hAnsi="Times New Roman" w:cs="Times New Roman"/>
          <w:sz w:val="20"/>
          <w:szCs w:val="20"/>
        </w:rPr>
        <w:t xml:space="preserve"> obtained in test concentration five (28.7</w:t>
      </w:r>
      <w:r w:rsidR="006D6B15" w:rsidRPr="006E19A0">
        <w:rPr>
          <w:rFonts w:ascii="Times New Roman" w:eastAsia="Arial Unicode MS" w:hAnsi="Times New Roman" w:cs="Times New Roman"/>
          <w:sz w:val="20"/>
          <w:szCs w:val="20"/>
          <w:vertAlign w:val="superscript"/>
        </w:rPr>
        <w:t xml:space="preserve"> o</w:t>
      </w:r>
      <w:r w:rsidR="006D6B15" w:rsidRPr="006E19A0">
        <w:rPr>
          <w:rFonts w:ascii="Times New Roman" w:eastAsia="Arial Unicode MS" w:hAnsi="Times New Roman" w:cs="Times New Roman"/>
          <w:sz w:val="20"/>
          <w:szCs w:val="20"/>
        </w:rPr>
        <w:t>C.</w:t>
      </w:r>
      <w:r w:rsidRPr="006E19A0">
        <w:rPr>
          <w:rFonts w:ascii="Times New Roman" w:eastAsia="Arial Unicode MS" w:hAnsi="Times New Roman" w:cs="Times New Roman"/>
          <w:sz w:val="20"/>
          <w:szCs w:val="20"/>
        </w:rPr>
        <w:t>), followed by test concentration four (with temperature value 27.</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C) while the least temperature value w</w:t>
      </w:r>
      <w:r w:rsidR="006D6B15" w:rsidRPr="006E19A0">
        <w:rPr>
          <w:rFonts w:ascii="Times New Roman" w:eastAsia="Arial Unicode MS" w:hAnsi="Times New Roman" w:cs="Times New Roman"/>
          <w:sz w:val="20"/>
          <w:szCs w:val="20"/>
          <w:lang w:val="en-GB"/>
        </w:rPr>
        <w:t>as</w:t>
      </w:r>
      <w:r w:rsidRPr="006E19A0">
        <w:rPr>
          <w:rFonts w:ascii="Times New Roman" w:eastAsia="Arial Unicode MS" w:hAnsi="Times New Roman" w:cs="Times New Roman"/>
          <w:sz w:val="20"/>
          <w:szCs w:val="20"/>
        </w:rPr>
        <w:t xml:space="preserve"> obtained in the control water sample (26.32 </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C). the temperature values were found to increase as the concentrations of the test water were found to increase. Temperature value could indicate the suitability of the water for the survival of the organisms during the test period as most aquatic organism could not survive warmth environment</w:t>
      </w:r>
      <w:r w:rsidR="006A19F9" w:rsidRPr="006E19A0">
        <w:rPr>
          <w:rFonts w:ascii="Times New Roman" w:eastAsia="Arial Unicode MS" w:hAnsi="Times New Roman" w:cs="Times New Roman"/>
          <w:sz w:val="20"/>
          <w:szCs w:val="20"/>
          <w:lang w:val="en-GB"/>
        </w:rPr>
        <w:t xml:space="preserve"> (</w:t>
      </w:r>
      <w:r w:rsidR="006A19F9" w:rsidRPr="006E19A0">
        <w:rPr>
          <w:rFonts w:ascii="Times New Roman" w:hAnsi="Times New Roman" w:cs="Times New Roman"/>
          <w:color w:val="222222"/>
          <w:sz w:val="20"/>
          <w:szCs w:val="20"/>
          <w:shd w:val="clear" w:color="auto" w:fill="FFFFFF"/>
        </w:rPr>
        <w:t>Corredor</w:t>
      </w:r>
      <w:r w:rsidR="006A19F9" w:rsidRPr="006E19A0">
        <w:rPr>
          <w:rFonts w:ascii="Times New Roman" w:hAnsi="Times New Roman" w:cs="Times New Roman"/>
          <w:color w:val="222222"/>
          <w:sz w:val="20"/>
          <w:szCs w:val="20"/>
          <w:shd w:val="clear" w:color="auto" w:fill="FFFFFF"/>
          <w:lang w:val="en-GB"/>
        </w:rPr>
        <w:t xml:space="preserve"> et al., 2021)</w:t>
      </w:r>
    </w:p>
    <w:p w14:paraId="092E1720"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11BC587E" wp14:editId="019BA229">
            <wp:extent cx="5598795" cy="3821430"/>
            <wp:effectExtent l="0" t="0" r="2095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39EF15" w14:textId="70A4FEC3"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5</w:t>
      </w:r>
      <w:r w:rsidRPr="006E19A0">
        <w:rPr>
          <w:rFonts w:ascii="Times New Roman" w:eastAsia="Arial Unicode MS" w:hAnsi="Times New Roman" w:cs="Times New Roman"/>
          <w:sz w:val="20"/>
          <w:szCs w:val="20"/>
        </w:rPr>
        <w:tab/>
        <w:t>Temperature values of the analysed Water Samples</w:t>
      </w:r>
    </w:p>
    <w:p w14:paraId="7195C4E7"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19AFCEAD"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5E7E431D" w14:textId="38420171"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.2</w:t>
      </w:r>
      <w:r w:rsidR="008C65A7" w:rsidRPr="006E19A0">
        <w:rPr>
          <w:rFonts w:ascii="Times New Roman" w:eastAsia="Arial Unicode MS" w:hAnsi="Times New Roman" w:cs="Times New Roman"/>
          <w:b/>
          <w:sz w:val="20"/>
          <w:szCs w:val="20"/>
        </w:rPr>
        <w:tab/>
        <w:t>MORTALITY RATE</w:t>
      </w:r>
    </w:p>
    <w:p w14:paraId="2CE18EC5" w14:textId="0F5CC4DD"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The mortality rates of </w:t>
      </w:r>
      <w:r w:rsidRPr="006E19A0">
        <w:rPr>
          <w:rFonts w:ascii="Times New Roman" w:hAnsi="Times New Roman" w:cs="Times New Roman"/>
          <w:i/>
          <w:iCs/>
          <w:sz w:val="20"/>
          <w:szCs w:val="20"/>
        </w:rPr>
        <w:t>Uca tangeri</w:t>
      </w:r>
      <w:r w:rsidRPr="006E19A0">
        <w:rPr>
          <w:rFonts w:ascii="Times New Roman" w:hAnsi="Times New Roman" w:cs="Times New Roman"/>
          <w:sz w:val="20"/>
          <w:szCs w:val="20"/>
        </w:rPr>
        <w:t xml:space="preserve"> exposed to varying concentrations of test chemicals shows how both concentration and exposure duration affect survival in these species. The findings presented in Tables </w:t>
      </w:r>
      <w:r w:rsidR="006A19F9" w:rsidRPr="006E19A0">
        <w:rPr>
          <w:rFonts w:ascii="Times New Roman" w:hAnsi="Times New Roman" w:cs="Times New Roman"/>
          <w:sz w:val="20"/>
          <w:szCs w:val="20"/>
          <w:lang w:val="en-GB"/>
        </w:rPr>
        <w:t>1 and 2</w:t>
      </w:r>
      <w:r w:rsidRPr="006E19A0">
        <w:rPr>
          <w:rFonts w:ascii="Times New Roman" w:hAnsi="Times New Roman" w:cs="Times New Roman"/>
          <w:sz w:val="20"/>
          <w:szCs w:val="20"/>
        </w:rPr>
        <w:t xml:space="preserve"> demonstrate clear trends of concentration-dependent and time-dependent mortality, with increasing concentrations and extended exposure durations leading to higher mortality rates in both species.</w:t>
      </w:r>
    </w:p>
    <w:p w14:paraId="642EF03C" w14:textId="77777777" w:rsidR="008C65A7" w:rsidRPr="006E19A0" w:rsidRDefault="008C65A7" w:rsidP="00702AD9">
      <w:pPr>
        <w:spacing w:after="120" w:line="360" w:lineRule="auto"/>
        <w:jc w:val="both"/>
        <w:rPr>
          <w:rFonts w:ascii="Times New Roman" w:hAnsi="Times New Roman" w:cs="Times New Roman"/>
          <w:b/>
          <w:bCs/>
          <w:sz w:val="20"/>
          <w:szCs w:val="20"/>
        </w:rPr>
      </w:pPr>
      <w:r w:rsidRPr="006E19A0">
        <w:rPr>
          <w:rFonts w:ascii="Times New Roman" w:hAnsi="Times New Roman" w:cs="Times New Roman"/>
          <w:b/>
          <w:bCs/>
          <w:sz w:val="20"/>
          <w:szCs w:val="20"/>
        </w:rPr>
        <w:t>Mortality Rate of Uca tangeri</w:t>
      </w:r>
    </w:p>
    <w:p w14:paraId="77C31160" w14:textId="77777777"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For </w:t>
      </w:r>
      <w:r w:rsidRPr="006E19A0">
        <w:rPr>
          <w:rFonts w:ascii="Times New Roman" w:hAnsi="Times New Roman" w:cs="Times New Roman"/>
          <w:i/>
          <w:iCs/>
          <w:sz w:val="20"/>
          <w:szCs w:val="20"/>
        </w:rPr>
        <w:t>Uca tanger</w:t>
      </w:r>
      <w:r w:rsidRPr="006E19A0">
        <w:rPr>
          <w:rFonts w:ascii="Times New Roman" w:hAnsi="Times New Roman" w:cs="Times New Roman"/>
          <w:sz w:val="20"/>
          <w:szCs w:val="20"/>
        </w:rPr>
        <w:t xml:space="preserve">i, the data reveals a clear concentration-dependent mortality trend. At the control concentration (0 mg/L), survival remained at 100% across all time points, indicating that no toxic effects were observed when no test chemicals were added. However, as the concentration of the test chemical increased, mortality rates escalated. 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Pr="006E19A0">
        <w:rPr>
          <w:rFonts w:ascii="Times New Roman" w:hAnsi="Times New Roman" w:cs="Times New Roman"/>
          <w:i/>
          <w:iCs/>
          <w:sz w:val="20"/>
          <w:szCs w:val="20"/>
        </w:rPr>
        <w:t>Uca tangeri</w:t>
      </w:r>
      <w:r w:rsidRPr="006E19A0">
        <w:rPr>
          <w:rFonts w:ascii="Times New Roman" w:hAnsi="Times New Roman" w:cs="Times New Roman"/>
          <w:sz w:val="20"/>
          <w:szCs w:val="20"/>
        </w:rPr>
        <w:t>.</w:t>
      </w:r>
    </w:p>
    <w:p w14:paraId="117E7914" w14:textId="13951336"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This concentration-dependent mortality is consistent with findings </w:t>
      </w:r>
      <w:r w:rsidR="0048522F" w:rsidRPr="006E19A0">
        <w:rPr>
          <w:rFonts w:ascii="Times New Roman" w:hAnsi="Times New Roman" w:cs="Times New Roman"/>
          <w:sz w:val="20"/>
          <w:szCs w:val="20"/>
          <w:lang w:val="en-GB"/>
        </w:rPr>
        <w:t xml:space="preserve">of </w:t>
      </w:r>
      <w:r w:rsidRPr="006E19A0">
        <w:rPr>
          <w:rFonts w:ascii="Times New Roman" w:hAnsi="Times New Roman" w:cs="Times New Roman"/>
          <w:sz w:val="20"/>
          <w:szCs w:val="20"/>
        </w:rPr>
        <w:t xml:space="preserve">Zhao </w:t>
      </w:r>
      <w:r w:rsidR="0048522F" w:rsidRPr="006E19A0">
        <w:rPr>
          <w:rFonts w:ascii="Times New Roman" w:hAnsi="Times New Roman" w:cs="Times New Roman"/>
          <w:sz w:val="20"/>
          <w:szCs w:val="20"/>
          <w:lang w:val="en-GB"/>
        </w:rPr>
        <w:t>and</w:t>
      </w:r>
      <w:r w:rsidRPr="006E19A0">
        <w:rPr>
          <w:rFonts w:ascii="Times New Roman" w:hAnsi="Times New Roman" w:cs="Times New Roman"/>
          <w:sz w:val="20"/>
          <w:szCs w:val="20"/>
        </w:rPr>
        <w:t xml:space="preserve"> Newman (2004), who highlighted </w:t>
      </w:r>
      <w:proofErr w:type="spellStart"/>
      <w:r w:rsidR="0048522F" w:rsidRPr="006E19A0">
        <w:rPr>
          <w:rFonts w:ascii="Times New Roman" w:hAnsi="Times New Roman" w:cs="Times New Roman"/>
          <w:sz w:val="20"/>
          <w:szCs w:val="20"/>
        </w:rPr>
        <w:t>th</w:t>
      </w:r>
      <w:proofErr w:type="spellEnd"/>
      <w:r w:rsidR="0048522F" w:rsidRPr="006E19A0">
        <w:rPr>
          <w:rFonts w:ascii="Times New Roman" w:hAnsi="Times New Roman" w:cs="Times New Roman"/>
          <w:sz w:val="20"/>
          <w:szCs w:val="20"/>
          <w:lang w:val="en-GB"/>
        </w:rPr>
        <w:t>at</w:t>
      </w:r>
      <w:r w:rsidR="0048522F" w:rsidRPr="006E19A0">
        <w:rPr>
          <w:rFonts w:ascii="Times New Roman" w:hAnsi="Times New Roman" w:cs="Times New Roman"/>
          <w:sz w:val="20"/>
          <w:szCs w:val="20"/>
        </w:rPr>
        <w:t xml:space="preserve"> </w:t>
      </w:r>
      <w:proofErr w:type="spellStart"/>
      <w:r w:rsidR="0048522F" w:rsidRPr="006E19A0">
        <w:rPr>
          <w:rFonts w:ascii="Times New Roman" w:hAnsi="Times New Roman" w:cs="Times New Roman"/>
          <w:sz w:val="20"/>
          <w:szCs w:val="20"/>
        </w:rPr>
        <w:t>increas</w:t>
      </w:r>
      <w:r w:rsidR="0048522F" w:rsidRPr="006E19A0">
        <w:rPr>
          <w:rFonts w:ascii="Times New Roman" w:hAnsi="Times New Roman" w:cs="Times New Roman"/>
          <w:sz w:val="20"/>
          <w:szCs w:val="20"/>
          <w:lang w:val="en-GB"/>
        </w:rPr>
        <w:t>ing</w:t>
      </w:r>
      <w:proofErr w:type="spellEnd"/>
      <w:r w:rsidR="0048522F" w:rsidRPr="006E19A0">
        <w:rPr>
          <w:rFonts w:ascii="Times New Roman" w:hAnsi="Times New Roman" w:cs="Times New Roman"/>
          <w:sz w:val="20"/>
          <w:szCs w:val="20"/>
          <w:lang w:val="en-GB"/>
        </w:rPr>
        <w:t xml:space="preserve"> the</w:t>
      </w:r>
      <w:r w:rsidR="0048522F" w:rsidRPr="006E19A0">
        <w:rPr>
          <w:rFonts w:ascii="Times New Roman" w:hAnsi="Times New Roman" w:cs="Times New Roman"/>
          <w:sz w:val="20"/>
          <w:szCs w:val="20"/>
        </w:rPr>
        <w:t xml:space="preserve"> concentrations of toxicants</w:t>
      </w:r>
      <w:r w:rsidR="0048522F" w:rsidRPr="006E19A0">
        <w:rPr>
          <w:rFonts w:ascii="Times New Roman" w:hAnsi="Times New Roman" w:cs="Times New Roman"/>
          <w:sz w:val="20"/>
          <w:szCs w:val="20"/>
          <w:lang w:val="en-GB"/>
        </w:rPr>
        <w:t xml:space="preserve"> could</w:t>
      </w:r>
      <w:r w:rsidRPr="006E19A0">
        <w:rPr>
          <w:rFonts w:ascii="Times New Roman" w:hAnsi="Times New Roman" w:cs="Times New Roman"/>
          <w:sz w:val="20"/>
          <w:szCs w:val="20"/>
        </w:rPr>
        <w:t xml:space="preserve"> lead to higher mortality rates in aquatic organisms, suggesting that toxicants cause progressive damage to physiological systems at higher concentrations, ultimately leading to death. Additionally, the significant rise in mortality between 72 and 96 hours further supports the idea that </w:t>
      </w:r>
      <w:r w:rsidRPr="006E19A0">
        <w:rPr>
          <w:rFonts w:ascii="Times New Roman" w:hAnsi="Times New Roman" w:cs="Times New Roman"/>
          <w:sz w:val="20"/>
          <w:szCs w:val="20"/>
        </w:rPr>
        <w:lastRenderedPageBreak/>
        <w:t>exposure duration plays a critical role in determining the final mortality rate, as latent effects of prolonged exposure can result in delayed deaths.</w:t>
      </w:r>
    </w:p>
    <w:p w14:paraId="00351942" w14:textId="77777777" w:rsidR="00706CDC" w:rsidRPr="006E19A0" w:rsidRDefault="00706CDC" w:rsidP="00702AD9">
      <w:pPr>
        <w:spacing w:after="120" w:line="360" w:lineRule="auto"/>
        <w:jc w:val="both"/>
        <w:rPr>
          <w:rFonts w:ascii="Times New Roman" w:eastAsia="Calibri" w:hAnsi="Times New Roman" w:cs="Times New Roman"/>
          <w:b/>
          <w:bCs/>
          <w:color w:val="000000" w:themeColor="text1"/>
          <w:kern w:val="24"/>
          <w:sz w:val="20"/>
          <w:szCs w:val="20"/>
        </w:rPr>
      </w:pPr>
    </w:p>
    <w:p w14:paraId="0E7B664B" w14:textId="3D65A9EF" w:rsidR="00706CDC" w:rsidRPr="00702AD9" w:rsidRDefault="00706CDC" w:rsidP="00702AD9">
      <w:pPr>
        <w:spacing w:after="120" w:line="360" w:lineRule="auto"/>
        <w:jc w:val="both"/>
        <w:rPr>
          <w:rFonts w:ascii="Times New Roman" w:eastAsia="Calibri" w:hAnsi="Times New Roman" w:cs="Times New Roman"/>
          <w:b/>
          <w:bCs/>
          <w:color w:val="000000" w:themeColor="text1"/>
          <w:kern w:val="24"/>
          <w:sz w:val="24"/>
          <w:szCs w:val="24"/>
        </w:rPr>
      </w:pPr>
      <w:r w:rsidRPr="00702AD9">
        <w:rPr>
          <w:rFonts w:ascii="Times New Roman" w:eastAsia="Calibri" w:hAnsi="Times New Roman" w:cs="Times New Roman"/>
          <w:b/>
          <w:bCs/>
          <w:color w:val="000000" w:themeColor="text1"/>
          <w:kern w:val="24"/>
          <w:sz w:val="24"/>
          <w:szCs w:val="24"/>
        </w:rPr>
        <w:t>Table 1:   Range finding test for Bonny light crude oil for 96 hours</w:t>
      </w:r>
    </w:p>
    <w:p w14:paraId="2F0FF342"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Conc</w:t>
      </w:r>
      <w:r w:rsidRPr="00702AD9">
        <w:rPr>
          <w:rFonts w:ascii="Times New Roman" w:eastAsia="Calibri" w:hAnsi="Times New Roman" w:cs="Times New Roman"/>
          <w:b/>
          <w:bCs/>
          <w:color w:val="000000" w:themeColor="text1"/>
          <w:kern w:val="24"/>
          <w:sz w:val="24"/>
          <w:szCs w:val="24"/>
          <w:u w:val="single"/>
        </w:rPr>
        <w:tab/>
      </w:r>
      <w:r w:rsidRPr="00702AD9">
        <w:rPr>
          <w:rFonts w:ascii="Times New Roman" w:eastAsia="Calibri" w:hAnsi="Times New Roman" w:cs="Times New Roman"/>
          <w:b/>
          <w:bCs/>
          <w:color w:val="000000" w:themeColor="text1"/>
          <w:kern w:val="24"/>
          <w:sz w:val="24"/>
          <w:szCs w:val="24"/>
          <w:u w:val="single"/>
        </w:rPr>
        <w:tab/>
        <w:t xml:space="preserve">          Mortality in 3 replicates        </w:t>
      </w:r>
    </w:p>
    <w:p w14:paraId="11F404AB"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(ml/l)</w:t>
      </w:r>
      <w:r w:rsidRPr="00702AD9">
        <w:rPr>
          <w:rFonts w:ascii="Times New Roman" w:eastAsia="Calibri" w:hAnsi="Times New Roman" w:cs="Times New Roman"/>
          <w:b/>
          <w:bCs/>
          <w:color w:val="000000" w:themeColor="text1"/>
          <w:kern w:val="24"/>
          <w:sz w:val="24"/>
          <w:szCs w:val="24"/>
          <w:u w:val="single"/>
        </w:rPr>
        <w:tab/>
        <w:t>12hrs</w:t>
      </w:r>
      <w:r w:rsidRPr="00702AD9">
        <w:rPr>
          <w:rFonts w:ascii="Times New Roman" w:eastAsia="Calibri" w:hAnsi="Times New Roman" w:cs="Times New Roman"/>
          <w:b/>
          <w:bCs/>
          <w:color w:val="000000" w:themeColor="text1"/>
          <w:kern w:val="24"/>
          <w:sz w:val="24"/>
          <w:szCs w:val="24"/>
          <w:u w:val="single"/>
        </w:rPr>
        <w:tab/>
        <w:t xml:space="preserve">          24hrs</w:t>
      </w:r>
      <w:r w:rsidRPr="00702AD9">
        <w:rPr>
          <w:rFonts w:ascii="Times New Roman" w:eastAsia="Calibri" w:hAnsi="Times New Roman" w:cs="Times New Roman"/>
          <w:b/>
          <w:bCs/>
          <w:color w:val="000000" w:themeColor="text1"/>
          <w:kern w:val="24"/>
          <w:sz w:val="24"/>
          <w:szCs w:val="24"/>
          <w:u w:val="single"/>
        </w:rPr>
        <w:tab/>
        <w:t xml:space="preserve">            72hrs</w:t>
      </w:r>
      <w:r w:rsidRPr="00702AD9">
        <w:rPr>
          <w:rFonts w:ascii="Times New Roman" w:eastAsia="Calibri" w:hAnsi="Times New Roman" w:cs="Times New Roman"/>
          <w:b/>
          <w:bCs/>
          <w:color w:val="000000" w:themeColor="text1"/>
          <w:kern w:val="24"/>
          <w:sz w:val="24"/>
          <w:szCs w:val="24"/>
          <w:u w:val="single"/>
        </w:rPr>
        <w:tab/>
        <w:t xml:space="preserve">                 42hrs</w:t>
      </w:r>
      <w:proofErr w:type="gramStart"/>
      <w:r w:rsidRPr="00702AD9">
        <w:rPr>
          <w:rFonts w:ascii="Times New Roman" w:eastAsia="Calibri" w:hAnsi="Times New Roman" w:cs="Times New Roman"/>
          <w:b/>
          <w:bCs/>
          <w:color w:val="000000" w:themeColor="text1"/>
          <w:kern w:val="24"/>
          <w:sz w:val="24"/>
          <w:szCs w:val="24"/>
          <w:u w:val="single"/>
        </w:rPr>
        <w:tab/>
        <w:t xml:space="preserve">  96</w:t>
      </w:r>
      <w:proofErr w:type="gramEnd"/>
      <w:r w:rsidRPr="00702AD9">
        <w:rPr>
          <w:rFonts w:ascii="Times New Roman" w:eastAsia="Calibri" w:hAnsi="Times New Roman" w:cs="Times New Roman"/>
          <w:b/>
          <w:bCs/>
          <w:color w:val="000000" w:themeColor="text1"/>
          <w:kern w:val="24"/>
          <w:sz w:val="24"/>
          <w:szCs w:val="24"/>
          <w:u w:val="single"/>
        </w:rPr>
        <w:t>hrs</w:t>
      </w:r>
    </w:p>
    <w:p w14:paraId="5963D7DB"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0.00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0,0,0             0,0,0</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665CCE30"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5.0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1,1,0</w:t>
      </w:r>
      <w:proofErr w:type="gramStart"/>
      <w:r w:rsidRPr="00702AD9">
        <w:rPr>
          <w:rFonts w:ascii="Times New Roman" w:eastAsia="Calibri" w:hAnsi="Times New Roman" w:cs="Times New Roman"/>
          <w:color w:val="000000" w:themeColor="text1"/>
          <w:kern w:val="24"/>
          <w:sz w:val="24"/>
          <w:szCs w:val="24"/>
        </w:rPr>
        <w:tab/>
        <w:t xml:space="preserve">  1</w:t>
      </w:r>
      <w:proofErr w:type="gramEnd"/>
      <w:r w:rsidRPr="00702AD9">
        <w:rPr>
          <w:rFonts w:ascii="Times New Roman" w:eastAsia="Calibri" w:hAnsi="Times New Roman" w:cs="Times New Roman"/>
          <w:color w:val="000000" w:themeColor="text1"/>
          <w:kern w:val="24"/>
          <w:sz w:val="24"/>
          <w:szCs w:val="24"/>
        </w:rPr>
        <w:t>,2,1</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115EFB48"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10.0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2,0,1</w:t>
      </w:r>
      <w:r w:rsidRPr="00702AD9">
        <w:rPr>
          <w:rFonts w:ascii="Times New Roman" w:eastAsia="Calibri" w:hAnsi="Times New Roman" w:cs="Times New Roman"/>
          <w:color w:val="000000" w:themeColor="text1"/>
          <w:kern w:val="24"/>
          <w:sz w:val="24"/>
          <w:szCs w:val="24"/>
        </w:rPr>
        <w:tab/>
        <w:t xml:space="preserve">                 2,3,2             3,3,2</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03DAA598"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20.0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1,1,0</w:t>
      </w:r>
      <w:r w:rsidRPr="00702AD9">
        <w:rPr>
          <w:rFonts w:ascii="Times New Roman" w:eastAsia="Calibri" w:hAnsi="Times New Roman" w:cs="Times New Roman"/>
          <w:color w:val="000000" w:themeColor="text1"/>
          <w:kern w:val="24"/>
          <w:sz w:val="24"/>
          <w:szCs w:val="24"/>
        </w:rPr>
        <w:tab/>
        <w:t xml:space="preserve">            2,3,1</w:t>
      </w:r>
      <w:r w:rsidRPr="00702AD9">
        <w:rPr>
          <w:rFonts w:ascii="Times New Roman" w:eastAsia="Calibri" w:hAnsi="Times New Roman" w:cs="Times New Roman"/>
          <w:color w:val="000000" w:themeColor="text1"/>
          <w:kern w:val="24"/>
          <w:sz w:val="24"/>
          <w:szCs w:val="24"/>
        </w:rPr>
        <w:tab/>
        <w:t xml:space="preserve">                 3,3,2</w:t>
      </w:r>
      <w:proofErr w:type="gramStart"/>
      <w:r w:rsidRPr="00702AD9">
        <w:rPr>
          <w:rFonts w:ascii="Times New Roman" w:eastAsia="Calibri" w:hAnsi="Times New Roman" w:cs="Times New Roman"/>
          <w:color w:val="000000" w:themeColor="text1"/>
          <w:kern w:val="24"/>
          <w:sz w:val="24"/>
          <w:szCs w:val="24"/>
        </w:rPr>
        <w:tab/>
        <w:t xml:space="preserve">  4</w:t>
      </w:r>
      <w:proofErr w:type="gramEnd"/>
      <w:r w:rsidRPr="00702AD9">
        <w:rPr>
          <w:rFonts w:ascii="Times New Roman" w:eastAsia="Calibri" w:hAnsi="Times New Roman" w:cs="Times New Roman"/>
          <w:color w:val="000000" w:themeColor="text1"/>
          <w:kern w:val="24"/>
          <w:sz w:val="24"/>
          <w:szCs w:val="24"/>
        </w:rPr>
        <w:t>,4,5</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760F60AD"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30.0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1,3,1</w:t>
      </w:r>
      <w:r w:rsidRPr="00702AD9">
        <w:rPr>
          <w:rFonts w:ascii="Times New Roman" w:eastAsia="Calibri" w:hAnsi="Times New Roman" w:cs="Times New Roman"/>
          <w:color w:val="000000" w:themeColor="text1"/>
          <w:kern w:val="24"/>
          <w:sz w:val="24"/>
          <w:szCs w:val="24"/>
        </w:rPr>
        <w:tab/>
        <w:t xml:space="preserve">            1,3,2</w:t>
      </w:r>
      <w:r w:rsidRPr="00702AD9">
        <w:rPr>
          <w:rFonts w:ascii="Times New Roman" w:eastAsia="Calibri" w:hAnsi="Times New Roman" w:cs="Times New Roman"/>
          <w:color w:val="000000" w:themeColor="text1"/>
          <w:kern w:val="24"/>
          <w:sz w:val="24"/>
          <w:szCs w:val="24"/>
        </w:rPr>
        <w:tab/>
        <w:t xml:space="preserve">                 2,3,5</w:t>
      </w:r>
      <w:proofErr w:type="gramStart"/>
      <w:r w:rsidRPr="00702AD9">
        <w:rPr>
          <w:rFonts w:ascii="Times New Roman" w:eastAsia="Calibri" w:hAnsi="Times New Roman" w:cs="Times New Roman"/>
          <w:color w:val="000000" w:themeColor="text1"/>
          <w:kern w:val="24"/>
          <w:sz w:val="24"/>
          <w:szCs w:val="24"/>
        </w:rPr>
        <w:tab/>
        <w:t xml:space="preserve">  3</w:t>
      </w:r>
      <w:proofErr w:type="gramEnd"/>
      <w:r w:rsidRPr="00702AD9">
        <w:rPr>
          <w:rFonts w:ascii="Times New Roman" w:eastAsia="Calibri" w:hAnsi="Times New Roman" w:cs="Times New Roman"/>
          <w:color w:val="000000" w:themeColor="text1"/>
          <w:kern w:val="24"/>
          <w:sz w:val="24"/>
          <w:szCs w:val="24"/>
        </w:rPr>
        <w:t>,5,6</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46FCD059"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40.0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1,1,2</w:t>
      </w:r>
      <w:r w:rsidRPr="00702AD9">
        <w:rPr>
          <w:rFonts w:ascii="Times New Roman" w:eastAsia="Calibri" w:hAnsi="Times New Roman" w:cs="Times New Roman"/>
          <w:color w:val="000000" w:themeColor="text1"/>
          <w:kern w:val="24"/>
          <w:sz w:val="24"/>
          <w:szCs w:val="24"/>
        </w:rPr>
        <w:tab/>
        <w:t xml:space="preserve">            2,2,4</w:t>
      </w:r>
      <w:r w:rsidRPr="00702AD9">
        <w:rPr>
          <w:rFonts w:ascii="Times New Roman" w:eastAsia="Calibri" w:hAnsi="Times New Roman" w:cs="Times New Roman"/>
          <w:color w:val="000000" w:themeColor="text1"/>
          <w:kern w:val="24"/>
          <w:sz w:val="24"/>
          <w:szCs w:val="24"/>
        </w:rPr>
        <w:tab/>
        <w:t xml:space="preserve">                 2,3,5</w:t>
      </w:r>
      <w:proofErr w:type="gramStart"/>
      <w:r w:rsidRPr="00702AD9">
        <w:rPr>
          <w:rFonts w:ascii="Times New Roman" w:eastAsia="Calibri" w:hAnsi="Times New Roman" w:cs="Times New Roman"/>
          <w:color w:val="000000" w:themeColor="text1"/>
          <w:kern w:val="24"/>
          <w:sz w:val="24"/>
          <w:szCs w:val="24"/>
        </w:rPr>
        <w:tab/>
        <w:t xml:space="preserve">  4</w:t>
      </w:r>
      <w:proofErr w:type="gramEnd"/>
      <w:r w:rsidRPr="00702AD9">
        <w:rPr>
          <w:rFonts w:ascii="Times New Roman" w:eastAsia="Calibri" w:hAnsi="Times New Roman" w:cs="Times New Roman"/>
          <w:color w:val="000000" w:themeColor="text1"/>
          <w:kern w:val="24"/>
          <w:sz w:val="24"/>
          <w:szCs w:val="24"/>
        </w:rPr>
        <w:t>,6,7</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6BD1B7C7"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50.0</w:t>
      </w:r>
      <w:r w:rsidRPr="00702AD9">
        <w:rPr>
          <w:rFonts w:ascii="Times New Roman" w:eastAsia="Calibri" w:hAnsi="Times New Roman" w:cs="Times New Roman"/>
          <w:color w:val="000000" w:themeColor="text1"/>
          <w:kern w:val="24"/>
          <w:sz w:val="24"/>
          <w:szCs w:val="24"/>
          <w:u w:val="single"/>
        </w:rPr>
        <w:tab/>
        <w:t>0,0,0</w:t>
      </w:r>
      <w:r w:rsidRPr="00702AD9">
        <w:rPr>
          <w:rFonts w:ascii="Times New Roman" w:eastAsia="Calibri" w:hAnsi="Times New Roman" w:cs="Times New Roman"/>
          <w:color w:val="000000" w:themeColor="text1"/>
          <w:kern w:val="24"/>
          <w:sz w:val="24"/>
          <w:szCs w:val="24"/>
          <w:u w:val="single"/>
        </w:rPr>
        <w:tab/>
        <w:t xml:space="preserve">          1,2,3</w:t>
      </w:r>
      <w:r w:rsidRPr="00702AD9">
        <w:rPr>
          <w:rFonts w:ascii="Times New Roman" w:eastAsia="Calibri" w:hAnsi="Times New Roman" w:cs="Times New Roman"/>
          <w:color w:val="000000" w:themeColor="text1"/>
          <w:kern w:val="24"/>
          <w:sz w:val="24"/>
          <w:szCs w:val="24"/>
          <w:u w:val="single"/>
        </w:rPr>
        <w:tab/>
        <w:t xml:space="preserve">            1,3,4</w:t>
      </w:r>
      <w:r w:rsidRPr="00702AD9">
        <w:rPr>
          <w:rFonts w:ascii="Times New Roman" w:eastAsia="Calibri" w:hAnsi="Times New Roman" w:cs="Times New Roman"/>
          <w:color w:val="000000" w:themeColor="text1"/>
          <w:kern w:val="24"/>
          <w:sz w:val="24"/>
          <w:szCs w:val="24"/>
          <w:u w:val="single"/>
        </w:rPr>
        <w:tab/>
        <w:t xml:space="preserve">                 3,5,7             10,9,9</w:t>
      </w:r>
      <w:r w:rsidRPr="00702AD9">
        <w:rPr>
          <w:rFonts w:ascii="Times New Roman" w:eastAsia="Calibri" w:hAnsi="Times New Roman" w:cs="Times New Roman"/>
          <w:color w:val="000000" w:themeColor="text1"/>
          <w:kern w:val="24"/>
          <w:sz w:val="36"/>
          <w:szCs w:val="36"/>
        </w:rPr>
        <w:tab/>
      </w:r>
      <w:r w:rsidRPr="00702AD9">
        <w:rPr>
          <w:rFonts w:ascii="Times New Roman" w:eastAsia="Calibri" w:hAnsi="Times New Roman" w:cs="Times New Roman"/>
          <w:color w:val="000000" w:themeColor="text1"/>
          <w:kern w:val="24"/>
          <w:sz w:val="36"/>
          <w:szCs w:val="36"/>
        </w:rPr>
        <w:tab/>
      </w:r>
    </w:p>
    <w:p w14:paraId="678438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566A97D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524F057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3C92811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7A6E29A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6F40C7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231F5B64" w14:textId="7F3C0A5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 xml:space="preserve">Table </w:t>
      </w:r>
      <w:r w:rsidRPr="00702AD9">
        <w:rPr>
          <w:rFonts w:ascii="Times New Roman" w:eastAsia="Arial Unicode MS" w:hAnsi="Times New Roman" w:cs="Times New Roman"/>
          <w:sz w:val="24"/>
          <w:szCs w:val="24"/>
          <w:lang w:val="en-GB"/>
        </w:rPr>
        <w:t>2</w:t>
      </w:r>
      <w:r w:rsidRPr="00702AD9">
        <w:rPr>
          <w:rFonts w:ascii="Times New Roman" w:eastAsia="Arial Unicode MS" w:hAnsi="Times New Roman" w:cs="Times New Roman"/>
          <w:sz w:val="24"/>
          <w:szCs w:val="24"/>
        </w:rPr>
        <w:tab/>
      </w:r>
      <w:r w:rsidRPr="00702AD9">
        <w:rPr>
          <w:rFonts w:ascii="Times New Roman" w:eastAsia="Arial Unicode MS" w:hAnsi="Times New Roman" w:cs="Times New Roman"/>
          <w:b/>
          <w:bCs/>
          <w:sz w:val="24"/>
          <w:szCs w:val="24"/>
        </w:rPr>
        <w:t xml:space="preserve">Mortality Rate of  </w:t>
      </w:r>
      <w:r w:rsidRPr="00702AD9">
        <w:rPr>
          <w:rFonts w:ascii="Times New Roman" w:eastAsia="Arial Unicode MS" w:hAnsi="Times New Roman" w:cs="Times New Roman"/>
          <w:b/>
          <w:bCs/>
          <w:i/>
          <w:sz w:val="24"/>
          <w:szCs w:val="24"/>
        </w:rPr>
        <w:t>Uca tangeri</w:t>
      </w:r>
      <w:r w:rsidRPr="00702AD9">
        <w:rPr>
          <w:rFonts w:ascii="Times New Roman" w:eastAsia="Arial Unicode MS" w:hAnsi="Times New Roman" w:cs="Times New Roman"/>
          <w:b/>
          <w:bCs/>
          <w:sz w:val="24"/>
          <w:szCs w:val="24"/>
        </w:rPr>
        <w:t xml:space="preserve"> exposed to the toxicant</w:t>
      </w:r>
    </w:p>
    <w:tbl>
      <w:tblPr>
        <w:tblW w:w="9246" w:type="dxa"/>
        <w:tblInd w:w="93" w:type="dxa"/>
        <w:tblLook w:val="04A0" w:firstRow="1" w:lastRow="0" w:firstColumn="1" w:lastColumn="0" w:noHBand="0" w:noVBand="1"/>
      </w:tblPr>
      <w:tblGrid>
        <w:gridCol w:w="1702"/>
        <w:gridCol w:w="1059"/>
        <w:gridCol w:w="1059"/>
        <w:gridCol w:w="1059"/>
        <w:gridCol w:w="944"/>
        <w:gridCol w:w="777"/>
        <w:gridCol w:w="1295"/>
        <w:gridCol w:w="1351"/>
      </w:tblGrid>
      <w:tr w:rsidR="00706CDC" w:rsidRPr="00702AD9" w14:paraId="791A598D" w14:textId="77777777" w:rsidTr="006456AC">
        <w:trPr>
          <w:trHeight w:val="590"/>
        </w:trPr>
        <w:tc>
          <w:tcPr>
            <w:tcW w:w="1702" w:type="dxa"/>
            <w:tcBorders>
              <w:top w:val="single" w:sz="4" w:space="0" w:color="auto"/>
              <w:left w:val="nil"/>
              <w:bottom w:val="single" w:sz="4" w:space="0" w:color="auto"/>
              <w:right w:val="nil"/>
            </w:tcBorders>
            <w:noWrap/>
            <w:vAlign w:val="bottom"/>
            <w:hideMark/>
          </w:tcPr>
          <w:p w14:paraId="0501BFB5"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Concentration</w:t>
            </w:r>
          </w:p>
        </w:tc>
        <w:tc>
          <w:tcPr>
            <w:tcW w:w="1059" w:type="dxa"/>
            <w:tcBorders>
              <w:top w:val="single" w:sz="4" w:space="0" w:color="auto"/>
              <w:left w:val="nil"/>
              <w:bottom w:val="single" w:sz="4" w:space="0" w:color="auto"/>
              <w:right w:val="nil"/>
            </w:tcBorders>
            <w:noWrap/>
            <w:vAlign w:val="bottom"/>
            <w:hideMark/>
          </w:tcPr>
          <w:p w14:paraId="2F2434F5"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REP</w:t>
            </w:r>
          </w:p>
        </w:tc>
        <w:tc>
          <w:tcPr>
            <w:tcW w:w="1059" w:type="dxa"/>
            <w:tcBorders>
              <w:top w:val="single" w:sz="4" w:space="0" w:color="auto"/>
              <w:left w:val="nil"/>
              <w:bottom w:val="single" w:sz="4" w:space="0" w:color="auto"/>
              <w:right w:val="nil"/>
            </w:tcBorders>
            <w:noWrap/>
            <w:vAlign w:val="bottom"/>
            <w:hideMark/>
          </w:tcPr>
          <w:p w14:paraId="1B10694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24 h</w:t>
            </w:r>
          </w:p>
        </w:tc>
        <w:tc>
          <w:tcPr>
            <w:tcW w:w="1059" w:type="dxa"/>
            <w:tcBorders>
              <w:top w:val="single" w:sz="4" w:space="0" w:color="auto"/>
              <w:left w:val="nil"/>
              <w:bottom w:val="single" w:sz="4" w:space="0" w:color="auto"/>
              <w:right w:val="nil"/>
            </w:tcBorders>
            <w:noWrap/>
            <w:vAlign w:val="bottom"/>
            <w:hideMark/>
          </w:tcPr>
          <w:p w14:paraId="5FA4A80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48 h</w:t>
            </w:r>
          </w:p>
        </w:tc>
        <w:tc>
          <w:tcPr>
            <w:tcW w:w="944" w:type="dxa"/>
            <w:tcBorders>
              <w:top w:val="single" w:sz="4" w:space="0" w:color="auto"/>
              <w:left w:val="nil"/>
              <w:bottom w:val="single" w:sz="4" w:space="0" w:color="auto"/>
              <w:right w:val="nil"/>
            </w:tcBorders>
            <w:noWrap/>
            <w:vAlign w:val="bottom"/>
            <w:hideMark/>
          </w:tcPr>
          <w:p w14:paraId="4AD00F4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72 h</w:t>
            </w:r>
          </w:p>
        </w:tc>
        <w:tc>
          <w:tcPr>
            <w:tcW w:w="777" w:type="dxa"/>
            <w:tcBorders>
              <w:top w:val="single" w:sz="4" w:space="0" w:color="auto"/>
              <w:left w:val="nil"/>
              <w:bottom w:val="single" w:sz="4" w:space="0" w:color="auto"/>
              <w:right w:val="nil"/>
            </w:tcBorders>
            <w:noWrap/>
            <w:vAlign w:val="bottom"/>
            <w:hideMark/>
          </w:tcPr>
          <w:p w14:paraId="2AE80498"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96 h</w:t>
            </w:r>
          </w:p>
        </w:tc>
        <w:tc>
          <w:tcPr>
            <w:tcW w:w="1295" w:type="dxa"/>
            <w:tcBorders>
              <w:top w:val="single" w:sz="4" w:space="0" w:color="auto"/>
              <w:left w:val="nil"/>
              <w:bottom w:val="single" w:sz="4" w:space="0" w:color="auto"/>
              <w:right w:val="nil"/>
            </w:tcBorders>
            <w:noWrap/>
            <w:vAlign w:val="bottom"/>
            <w:hideMark/>
          </w:tcPr>
          <w:p w14:paraId="22050C38"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Survival (%)</w:t>
            </w:r>
          </w:p>
        </w:tc>
        <w:tc>
          <w:tcPr>
            <w:tcW w:w="1351" w:type="dxa"/>
            <w:tcBorders>
              <w:top w:val="single" w:sz="4" w:space="0" w:color="auto"/>
              <w:left w:val="nil"/>
              <w:bottom w:val="single" w:sz="4" w:space="0" w:color="auto"/>
              <w:right w:val="nil"/>
            </w:tcBorders>
            <w:noWrap/>
            <w:vAlign w:val="bottom"/>
            <w:hideMark/>
          </w:tcPr>
          <w:p w14:paraId="36B28162"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Mortality (%)</w:t>
            </w:r>
          </w:p>
        </w:tc>
      </w:tr>
      <w:tr w:rsidR="00706CDC" w:rsidRPr="00702AD9" w14:paraId="7AEAE91C" w14:textId="77777777" w:rsidTr="006456AC">
        <w:trPr>
          <w:trHeight w:val="471"/>
        </w:trPr>
        <w:tc>
          <w:tcPr>
            <w:tcW w:w="1702" w:type="dxa"/>
            <w:noWrap/>
            <w:vAlign w:val="bottom"/>
            <w:hideMark/>
          </w:tcPr>
          <w:p w14:paraId="02EA64F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7530438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579C60A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25359F5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152ECC4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3F5FD3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5A4C492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3B9FC23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57137674" w14:textId="77777777" w:rsidTr="006456AC">
        <w:trPr>
          <w:trHeight w:val="471"/>
        </w:trPr>
        <w:tc>
          <w:tcPr>
            <w:tcW w:w="1702" w:type="dxa"/>
            <w:noWrap/>
            <w:vAlign w:val="bottom"/>
            <w:hideMark/>
          </w:tcPr>
          <w:p w14:paraId="20FDC04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1C6F7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91000C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5FB5BE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5701F6A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015F311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3BEA23F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20722C1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7C1B5AE4" w14:textId="77777777" w:rsidTr="006456AC">
        <w:trPr>
          <w:trHeight w:val="471"/>
        </w:trPr>
        <w:tc>
          <w:tcPr>
            <w:tcW w:w="1702" w:type="dxa"/>
            <w:noWrap/>
            <w:vAlign w:val="bottom"/>
            <w:hideMark/>
          </w:tcPr>
          <w:p w14:paraId="20B42E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3B5AC11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23AD868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530F1C0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05B3CFE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5E3AA43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0ABA6B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2CB3785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4E917ECA" w14:textId="77777777" w:rsidTr="006456AC">
        <w:trPr>
          <w:trHeight w:val="471"/>
        </w:trPr>
        <w:tc>
          <w:tcPr>
            <w:tcW w:w="1702" w:type="dxa"/>
            <w:noWrap/>
            <w:vAlign w:val="bottom"/>
            <w:hideMark/>
          </w:tcPr>
          <w:p w14:paraId="407AE81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4627BA8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D2B17D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793E94A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70D9CD1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6E9EDAE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295" w:type="dxa"/>
            <w:noWrap/>
            <w:vAlign w:val="bottom"/>
            <w:hideMark/>
          </w:tcPr>
          <w:p w14:paraId="5F3FC1A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c>
          <w:tcPr>
            <w:tcW w:w="1351" w:type="dxa"/>
            <w:noWrap/>
            <w:vAlign w:val="bottom"/>
            <w:hideMark/>
          </w:tcPr>
          <w:p w14:paraId="2BF419E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r>
      <w:tr w:rsidR="00706CDC" w:rsidRPr="00702AD9" w14:paraId="78FDAD67" w14:textId="77777777" w:rsidTr="006456AC">
        <w:trPr>
          <w:trHeight w:val="471"/>
        </w:trPr>
        <w:tc>
          <w:tcPr>
            <w:tcW w:w="1702" w:type="dxa"/>
            <w:noWrap/>
            <w:vAlign w:val="bottom"/>
            <w:hideMark/>
          </w:tcPr>
          <w:p w14:paraId="3EB9F21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lastRenderedPageBreak/>
              <w:t>5</w:t>
            </w:r>
          </w:p>
        </w:tc>
        <w:tc>
          <w:tcPr>
            <w:tcW w:w="1059" w:type="dxa"/>
            <w:noWrap/>
            <w:vAlign w:val="bottom"/>
            <w:hideMark/>
          </w:tcPr>
          <w:p w14:paraId="7E89F72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DDAC0D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1C2420A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3105F4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4C8464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295" w:type="dxa"/>
            <w:noWrap/>
            <w:vAlign w:val="bottom"/>
            <w:hideMark/>
          </w:tcPr>
          <w:p w14:paraId="0E13259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c>
          <w:tcPr>
            <w:tcW w:w="1351" w:type="dxa"/>
            <w:noWrap/>
            <w:vAlign w:val="bottom"/>
            <w:hideMark/>
          </w:tcPr>
          <w:p w14:paraId="0F95983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r>
      <w:tr w:rsidR="00706CDC" w:rsidRPr="00702AD9" w14:paraId="752948FF" w14:textId="77777777" w:rsidTr="006456AC">
        <w:trPr>
          <w:trHeight w:val="471"/>
        </w:trPr>
        <w:tc>
          <w:tcPr>
            <w:tcW w:w="1702" w:type="dxa"/>
            <w:noWrap/>
            <w:vAlign w:val="bottom"/>
            <w:hideMark/>
          </w:tcPr>
          <w:p w14:paraId="36F23B6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05DEE44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52E807D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2A8124E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3771D0C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2462CC0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295" w:type="dxa"/>
            <w:noWrap/>
            <w:vAlign w:val="bottom"/>
            <w:hideMark/>
          </w:tcPr>
          <w:p w14:paraId="7D3A777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c>
          <w:tcPr>
            <w:tcW w:w="1351" w:type="dxa"/>
            <w:noWrap/>
            <w:vAlign w:val="bottom"/>
            <w:hideMark/>
          </w:tcPr>
          <w:p w14:paraId="470711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r>
      <w:tr w:rsidR="00706CDC" w:rsidRPr="00702AD9" w14:paraId="224B3040" w14:textId="77777777" w:rsidTr="006456AC">
        <w:trPr>
          <w:trHeight w:val="471"/>
        </w:trPr>
        <w:tc>
          <w:tcPr>
            <w:tcW w:w="1702" w:type="dxa"/>
            <w:noWrap/>
            <w:vAlign w:val="bottom"/>
            <w:hideMark/>
          </w:tcPr>
          <w:p w14:paraId="4BE264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472F065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212F0B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5BA8EC9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7A89A73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777" w:type="dxa"/>
            <w:noWrap/>
            <w:vAlign w:val="bottom"/>
            <w:hideMark/>
          </w:tcPr>
          <w:p w14:paraId="0DE19A1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295" w:type="dxa"/>
            <w:noWrap/>
            <w:vAlign w:val="bottom"/>
            <w:hideMark/>
          </w:tcPr>
          <w:p w14:paraId="22E1306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c>
          <w:tcPr>
            <w:tcW w:w="1351" w:type="dxa"/>
            <w:noWrap/>
            <w:vAlign w:val="bottom"/>
            <w:hideMark/>
          </w:tcPr>
          <w:p w14:paraId="340AEDA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r>
      <w:tr w:rsidR="00706CDC" w:rsidRPr="00702AD9" w14:paraId="7187F91A" w14:textId="77777777" w:rsidTr="006456AC">
        <w:trPr>
          <w:trHeight w:val="471"/>
        </w:trPr>
        <w:tc>
          <w:tcPr>
            <w:tcW w:w="1702" w:type="dxa"/>
            <w:noWrap/>
            <w:vAlign w:val="bottom"/>
            <w:hideMark/>
          </w:tcPr>
          <w:p w14:paraId="3986DD4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05E367A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00B2A8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76A9EB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60576BA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777" w:type="dxa"/>
            <w:noWrap/>
            <w:vAlign w:val="bottom"/>
            <w:hideMark/>
          </w:tcPr>
          <w:p w14:paraId="14C9F4B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295" w:type="dxa"/>
            <w:noWrap/>
            <w:vAlign w:val="bottom"/>
            <w:hideMark/>
          </w:tcPr>
          <w:p w14:paraId="22BD941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c>
          <w:tcPr>
            <w:tcW w:w="1351" w:type="dxa"/>
            <w:noWrap/>
            <w:vAlign w:val="bottom"/>
            <w:hideMark/>
          </w:tcPr>
          <w:p w14:paraId="5DE6925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r>
      <w:tr w:rsidR="00706CDC" w:rsidRPr="00702AD9" w14:paraId="2128985B" w14:textId="77777777" w:rsidTr="006456AC">
        <w:trPr>
          <w:trHeight w:val="471"/>
        </w:trPr>
        <w:tc>
          <w:tcPr>
            <w:tcW w:w="1702" w:type="dxa"/>
            <w:noWrap/>
            <w:vAlign w:val="bottom"/>
            <w:hideMark/>
          </w:tcPr>
          <w:p w14:paraId="086C45D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3CBF48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113A297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F56025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21A589D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66A5F83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295" w:type="dxa"/>
            <w:noWrap/>
            <w:vAlign w:val="bottom"/>
            <w:hideMark/>
          </w:tcPr>
          <w:p w14:paraId="08301A2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c>
          <w:tcPr>
            <w:tcW w:w="1351" w:type="dxa"/>
            <w:noWrap/>
            <w:vAlign w:val="bottom"/>
            <w:hideMark/>
          </w:tcPr>
          <w:p w14:paraId="3868A25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r>
      <w:tr w:rsidR="00706CDC" w:rsidRPr="00702AD9" w14:paraId="54E42603" w14:textId="77777777" w:rsidTr="006456AC">
        <w:trPr>
          <w:trHeight w:val="471"/>
        </w:trPr>
        <w:tc>
          <w:tcPr>
            <w:tcW w:w="1702" w:type="dxa"/>
            <w:noWrap/>
            <w:vAlign w:val="bottom"/>
            <w:hideMark/>
          </w:tcPr>
          <w:p w14:paraId="2D69B01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4A95B58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6C60EA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5D0F671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32F3B0D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777" w:type="dxa"/>
            <w:noWrap/>
            <w:vAlign w:val="bottom"/>
            <w:hideMark/>
          </w:tcPr>
          <w:p w14:paraId="49D49BE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295" w:type="dxa"/>
            <w:noWrap/>
            <w:vAlign w:val="bottom"/>
            <w:hideMark/>
          </w:tcPr>
          <w:p w14:paraId="7C6E88D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50.00</w:t>
            </w:r>
          </w:p>
        </w:tc>
        <w:tc>
          <w:tcPr>
            <w:tcW w:w="1351" w:type="dxa"/>
            <w:noWrap/>
            <w:vAlign w:val="bottom"/>
            <w:hideMark/>
          </w:tcPr>
          <w:p w14:paraId="3783C33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50.00</w:t>
            </w:r>
          </w:p>
        </w:tc>
      </w:tr>
      <w:tr w:rsidR="00706CDC" w:rsidRPr="00702AD9" w14:paraId="3E9A532F" w14:textId="77777777" w:rsidTr="006456AC">
        <w:trPr>
          <w:trHeight w:val="471"/>
        </w:trPr>
        <w:tc>
          <w:tcPr>
            <w:tcW w:w="1702" w:type="dxa"/>
            <w:noWrap/>
            <w:vAlign w:val="bottom"/>
            <w:hideMark/>
          </w:tcPr>
          <w:p w14:paraId="4F931A8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596E8E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168564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1AC3213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4ADED82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777" w:type="dxa"/>
            <w:noWrap/>
            <w:vAlign w:val="bottom"/>
            <w:hideMark/>
          </w:tcPr>
          <w:p w14:paraId="621768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1295" w:type="dxa"/>
            <w:noWrap/>
            <w:vAlign w:val="bottom"/>
            <w:hideMark/>
          </w:tcPr>
          <w:p w14:paraId="370984E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60.00</w:t>
            </w:r>
          </w:p>
        </w:tc>
        <w:tc>
          <w:tcPr>
            <w:tcW w:w="1351" w:type="dxa"/>
            <w:noWrap/>
            <w:vAlign w:val="bottom"/>
            <w:hideMark/>
          </w:tcPr>
          <w:p w14:paraId="033C627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40.00</w:t>
            </w:r>
          </w:p>
        </w:tc>
      </w:tr>
      <w:tr w:rsidR="00706CDC" w:rsidRPr="00702AD9" w14:paraId="4172BD68" w14:textId="77777777" w:rsidTr="006456AC">
        <w:trPr>
          <w:trHeight w:val="471"/>
        </w:trPr>
        <w:tc>
          <w:tcPr>
            <w:tcW w:w="1702" w:type="dxa"/>
            <w:noWrap/>
            <w:vAlign w:val="bottom"/>
            <w:hideMark/>
          </w:tcPr>
          <w:p w14:paraId="417617C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6A7A243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ACD7C9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6832C3A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944" w:type="dxa"/>
            <w:noWrap/>
            <w:vAlign w:val="bottom"/>
            <w:hideMark/>
          </w:tcPr>
          <w:p w14:paraId="7E88495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777" w:type="dxa"/>
            <w:noWrap/>
            <w:vAlign w:val="bottom"/>
            <w:hideMark/>
          </w:tcPr>
          <w:p w14:paraId="4D73460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1295" w:type="dxa"/>
            <w:noWrap/>
            <w:vAlign w:val="bottom"/>
            <w:hideMark/>
          </w:tcPr>
          <w:p w14:paraId="5A5190A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40.00</w:t>
            </w:r>
          </w:p>
        </w:tc>
        <w:tc>
          <w:tcPr>
            <w:tcW w:w="1351" w:type="dxa"/>
            <w:noWrap/>
            <w:vAlign w:val="bottom"/>
            <w:hideMark/>
          </w:tcPr>
          <w:p w14:paraId="0627D71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60.00</w:t>
            </w:r>
          </w:p>
        </w:tc>
      </w:tr>
      <w:tr w:rsidR="00706CDC" w:rsidRPr="00702AD9" w14:paraId="5DAE407B" w14:textId="77777777" w:rsidTr="006456AC">
        <w:trPr>
          <w:trHeight w:val="471"/>
        </w:trPr>
        <w:tc>
          <w:tcPr>
            <w:tcW w:w="1702" w:type="dxa"/>
            <w:noWrap/>
            <w:vAlign w:val="bottom"/>
            <w:hideMark/>
          </w:tcPr>
          <w:p w14:paraId="69D91FE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49A930E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AC5641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019E526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944" w:type="dxa"/>
            <w:noWrap/>
            <w:vAlign w:val="bottom"/>
            <w:hideMark/>
          </w:tcPr>
          <w:p w14:paraId="31CAFC6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777" w:type="dxa"/>
            <w:noWrap/>
            <w:vAlign w:val="bottom"/>
            <w:hideMark/>
          </w:tcPr>
          <w:p w14:paraId="5340BE0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295" w:type="dxa"/>
            <w:noWrap/>
            <w:vAlign w:val="bottom"/>
            <w:hideMark/>
          </w:tcPr>
          <w:p w14:paraId="75C5E42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c>
          <w:tcPr>
            <w:tcW w:w="1351" w:type="dxa"/>
            <w:noWrap/>
            <w:vAlign w:val="bottom"/>
            <w:hideMark/>
          </w:tcPr>
          <w:p w14:paraId="43CE556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r>
      <w:tr w:rsidR="00706CDC" w:rsidRPr="00702AD9" w14:paraId="07E8A586" w14:textId="77777777" w:rsidTr="006456AC">
        <w:trPr>
          <w:trHeight w:val="471"/>
        </w:trPr>
        <w:tc>
          <w:tcPr>
            <w:tcW w:w="1702" w:type="dxa"/>
            <w:noWrap/>
            <w:vAlign w:val="bottom"/>
            <w:hideMark/>
          </w:tcPr>
          <w:p w14:paraId="00EC8B2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0DA2E9D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3DF1264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75598D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944" w:type="dxa"/>
            <w:noWrap/>
            <w:vAlign w:val="bottom"/>
            <w:hideMark/>
          </w:tcPr>
          <w:p w14:paraId="59D45C3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777" w:type="dxa"/>
            <w:noWrap/>
            <w:vAlign w:val="bottom"/>
            <w:hideMark/>
          </w:tcPr>
          <w:p w14:paraId="42E1D4F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1295" w:type="dxa"/>
            <w:noWrap/>
            <w:vAlign w:val="bottom"/>
            <w:hideMark/>
          </w:tcPr>
          <w:p w14:paraId="6CB2CEC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c>
          <w:tcPr>
            <w:tcW w:w="1351" w:type="dxa"/>
            <w:noWrap/>
            <w:vAlign w:val="bottom"/>
            <w:hideMark/>
          </w:tcPr>
          <w:p w14:paraId="22B4A9F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r>
      <w:tr w:rsidR="00706CDC" w:rsidRPr="00702AD9" w14:paraId="21E69CBA" w14:textId="77777777" w:rsidTr="006456AC">
        <w:trPr>
          <w:trHeight w:val="471"/>
        </w:trPr>
        <w:tc>
          <w:tcPr>
            <w:tcW w:w="1702" w:type="dxa"/>
            <w:noWrap/>
            <w:vAlign w:val="bottom"/>
            <w:hideMark/>
          </w:tcPr>
          <w:p w14:paraId="0322BBC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668AA0A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F42EF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1059" w:type="dxa"/>
            <w:noWrap/>
            <w:vAlign w:val="bottom"/>
            <w:hideMark/>
          </w:tcPr>
          <w:p w14:paraId="75E9277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944" w:type="dxa"/>
            <w:noWrap/>
            <w:vAlign w:val="bottom"/>
            <w:hideMark/>
          </w:tcPr>
          <w:p w14:paraId="0C9C7AB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777" w:type="dxa"/>
            <w:noWrap/>
            <w:vAlign w:val="bottom"/>
            <w:hideMark/>
          </w:tcPr>
          <w:p w14:paraId="6A1CA10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1295" w:type="dxa"/>
            <w:noWrap/>
            <w:vAlign w:val="bottom"/>
            <w:hideMark/>
          </w:tcPr>
          <w:p w14:paraId="6759C47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c>
          <w:tcPr>
            <w:tcW w:w="1351" w:type="dxa"/>
            <w:noWrap/>
            <w:vAlign w:val="bottom"/>
            <w:hideMark/>
          </w:tcPr>
          <w:p w14:paraId="79D2AA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r>
      <w:tr w:rsidR="00706CDC" w:rsidRPr="00702AD9" w14:paraId="3D205C97" w14:textId="77777777" w:rsidTr="006456AC">
        <w:trPr>
          <w:trHeight w:val="471"/>
        </w:trPr>
        <w:tc>
          <w:tcPr>
            <w:tcW w:w="1702" w:type="dxa"/>
            <w:noWrap/>
            <w:vAlign w:val="bottom"/>
            <w:hideMark/>
          </w:tcPr>
          <w:p w14:paraId="27173E7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noWrap/>
            <w:vAlign w:val="bottom"/>
            <w:hideMark/>
          </w:tcPr>
          <w:p w14:paraId="41C3821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04619A2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059" w:type="dxa"/>
            <w:noWrap/>
            <w:vAlign w:val="bottom"/>
            <w:hideMark/>
          </w:tcPr>
          <w:p w14:paraId="2F64553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944" w:type="dxa"/>
            <w:noWrap/>
            <w:vAlign w:val="bottom"/>
            <w:hideMark/>
          </w:tcPr>
          <w:p w14:paraId="3725E08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777" w:type="dxa"/>
            <w:noWrap/>
            <w:vAlign w:val="bottom"/>
            <w:hideMark/>
          </w:tcPr>
          <w:p w14:paraId="43240BD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noWrap/>
            <w:vAlign w:val="bottom"/>
            <w:hideMark/>
          </w:tcPr>
          <w:p w14:paraId="58E7EF2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noWrap/>
            <w:vAlign w:val="bottom"/>
            <w:hideMark/>
          </w:tcPr>
          <w:p w14:paraId="54CFA6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r w:rsidR="00706CDC" w:rsidRPr="00702AD9" w14:paraId="3168BF59" w14:textId="77777777" w:rsidTr="006456AC">
        <w:trPr>
          <w:trHeight w:val="471"/>
        </w:trPr>
        <w:tc>
          <w:tcPr>
            <w:tcW w:w="1702" w:type="dxa"/>
            <w:noWrap/>
            <w:vAlign w:val="bottom"/>
            <w:hideMark/>
          </w:tcPr>
          <w:p w14:paraId="1D8CD9B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noWrap/>
            <w:vAlign w:val="bottom"/>
            <w:hideMark/>
          </w:tcPr>
          <w:p w14:paraId="3F89C2B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22FF898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1059" w:type="dxa"/>
            <w:noWrap/>
            <w:vAlign w:val="bottom"/>
            <w:hideMark/>
          </w:tcPr>
          <w:p w14:paraId="404C9A0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944" w:type="dxa"/>
            <w:noWrap/>
            <w:vAlign w:val="bottom"/>
            <w:hideMark/>
          </w:tcPr>
          <w:p w14:paraId="55BCB92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777" w:type="dxa"/>
            <w:noWrap/>
            <w:vAlign w:val="bottom"/>
            <w:hideMark/>
          </w:tcPr>
          <w:p w14:paraId="441908F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noWrap/>
            <w:vAlign w:val="bottom"/>
            <w:hideMark/>
          </w:tcPr>
          <w:p w14:paraId="0F7A54E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noWrap/>
            <w:vAlign w:val="bottom"/>
            <w:hideMark/>
          </w:tcPr>
          <w:p w14:paraId="63182C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r w:rsidR="00706CDC" w:rsidRPr="00702AD9" w14:paraId="77A319A9" w14:textId="77777777" w:rsidTr="006456AC">
        <w:trPr>
          <w:trHeight w:val="471"/>
        </w:trPr>
        <w:tc>
          <w:tcPr>
            <w:tcW w:w="1702" w:type="dxa"/>
            <w:tcBorders>
              <w:top w:val="nil"/>
              <w:left w:val="nil"/>
              <w:bottom w:val="single" w:sz="4" w:space="0" w:color="auto"/>
              <w:right w:val="nil"/>
            </w:tcBorders>
            <w:noWrap/>
            <w:vAlign w:val="bottom"/>
            <w:hideMark/>
          </w:tcPr>
          <w:p w14:paraId="1A817B5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tcBorders>
              <w:top w:val="nil"/>
              <w:left w:val="nil"/>
              <w:bottom w:val="single" w:sz="4" w:space="0" w:color="auto"/>
              <w:right w:val="nil"/>
            </w:tcBorders>
            <w:noWrap/>
            <w:vAlign w:val="bottom"/>
            <w:hideMark/>
          </w:tcPr>
          <w:p w14:paraId="7465B9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tcBorders>
              <w:top w:val="nil"/>
              <w:left w:val="nil"/>
              <w:bottom w:val="single" w:sz="4" w:space="0" w:color="auto"/>
              <w:right w:val="nil"/>
            </w:tcBorders>
            <w:noWrap/>
            <w:vAlign w:val="bottom"/>
            <w:hideMark/>
          </w:tcPr>
          <w:p w14:paraId="7D950D3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059" w:type="dxa"/>
            <w:tcBorders>
              <w:top w:val="nil"/>
              <w:left w:val="nil"/>
              <w:bottom w:val="single" w:sz="4" w:space="0" w:color="auto"/>
              <w:right w:val="nil"/>
            </w:tcBorders>
            <w:noWrap/>
            <w:vAlign w:val="bottom"/>
            <w:hideMark/>
          </w:tcPr>
          <w:p w14:paraId="5A27DB0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944" w:type="dxa"/>
            <w:tcBorders>
              <w:top w:val="nil"/>
              <w:left w:val="nil"/>
              <w:bottom w:val="single" w:sz="4" w:space="0" w:color="auto"/>
              <w:right w:val="nil"/>
            </w:tcBorders>
            <w:noWrap/>
            <w:vAlign w:val="bottom"/>
            <w:hideMark/>
          </w:tcPr>
          <w:p w14:paraId="460B823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777" w:type="dxa"/>
            <w:tcBorders>
              <w:top w:val="nil"/>
              <w:left w:val="nil"/>
              <w:bottom w:val="single" w:sz="4" w:space="0" w:color="auto"/>
              <w:right w:val="nil"/>
            </w:tcBorders>
            <w:noWrap/>
            <w:vAlign w:val="bottom"/>
            <w:hideMark/>
          </w:tcPr>
          <w:p w14:paraId="428FB24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tcBorders>
              <w:top w:val="nil"/>
              <w:left w:val="nil"/>
              <w:bottom w:val="single" w:sz="4" w:space="0" w:color="auto"/>
              <w:right w:val="nil"/>
            </w:tcBorders>
            <w:noWrap/>
            <w:vAlign w:val="bottom"/>
            <w:hideMark/>
          </w:tcPr>
          <w:p w14:paraId="1DB6308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tcBorders>
              <w:top w:val="nil"/>
              <w:left w:val="nil"/>
              <w:bottom w:val="single" w:sz="4" w:space="0" w:color="auto"/>
              <w:right w:val="nil"/>
            </w:tcBorders>
            <w:noWrap/>
            <w:vAlign w:val="bottom"/>
            <w:hideMark/>
          </w:tcPr>
          <w:p w14:paraId="71702E0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bl>
    <w:p w14:paraId="0B98A1B7" w14:textId="2091F3AD" w:rsidR="008C65A7" w:rsidRPr="00702AD9" w:rsidRDefault="008C65A7" w:rsidP="00702AD9">
      <w:pPr>
        <w:spacing w:after="120" w:line="360" w:lineRule="auto"/>
        <w:jc w:val="both"/>
        <w:rPr>
          <w:rFonts w:ascii="Times New Roman" w:hAnsi="Times New Roman" w:cs="Times New Roman"/>
          <w:b/>
          <w:bCs/>
          <w:lang w:val="en-GB"/>
        </w:rPr>
      </w:pPr>
    </w:p>
    <w:p w14:paraId="1A3E0346" w14:textId="4D0553A6" w:rsidR="00706CDC" w:rsidRPr="006E19A0" w:rsidRDefault="00706CDC"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Conclusion</w:t>
      </w:r>
    </w:p>
    <w:p w14:paraId="6066E6B0" w14:textId="6405EDD4" w:rsidR="00C74787" w:rsidRPr="006E19A0" w:rsidRDefault="00B5554B"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lang w:val="en-GB"/>
        </w:rPr>
        <w:t>The water-soluble fraction of the bonny Light crude oil (WSF) caused an e</w:t>
      </w:r>
      <w:r w:rsidR="003C41A1" w:rsidRPr="006E19A0">
        <w:rPr>
          <w:rFonts w:ascii="Times New Roman" w:hAnsi="Times New Roman" w:cs="Times New Roman"/>
          <w:sz w:val="20"/>
          <w:szCs w:val="20"/>
          <w:lang w:val="en-GB"/>
        </w:rPr>
        <w:t>xposure r</w:t>
      </w:r>
      <w:r w:rsidRPr="006E19A0">
        <w:rPr>
          <w:rFonts w:ascii="Times New Roman" w:hAnsi="Times New Roman" w:cs="Times New Roman"/>
          <w:sz w:val="20"/>
          <w:szCs w:val="20"/>
          <w:lang w:val="en-GB"/>
        </w:rPr>
        <w:t>i</w:t>
      </w:r>
      <w:r w:rsidR="003C41A1" w:rsidRPr="006E19A0">
        <w:rPr>
          <w:rFonts w:ascii="Times New Roman" w:hAnsi="Times New Roman" w:cs="Times New Roman"/>
          <w:sz w:val="20"/>
          <w:szCs w:val="20"/>
          <w:lang w:val="en-GB"/>
        </w:rPr>
        <w:t xml:space="preserve">sk </w:t>
      </w:r>
      <w:r w:rsidRPr="006E19A0">
        <w:rPr>
          <w:rFonts w:ascii="Times New Roman" w:hAnsi="Times New Roman" w:cs="Times New Roman"/>
          <w:sz w:val="20"/>
          <w:szCs w:val="20"/>
          <w:lang w:val="en-GB"/>
        </w:rPr>
        <w:t>to</w:t>
      </w:r>
      <w:r w:rsidR="003C41A1" w:rsidRPr="006E19A0">
        <w:rPr>
          <w:rFonts w:ascii="Times New Roman" w:hAnsi="Times New Roman" w:cs="Times New Roman"/>
          <w:sz w:val="20"/>
          <w:szCs w:val="20"/>
          <w:lang w:val="en-GB"/>
        </w:rPr>
        <w:t xml:space="preserve"> the littoral organism</w:t>
      </w:r>
      <w:r w:rsidRPr="006E19A0">
        <w:rPr>
          <w:rFonts w:ascii="Times New Roman" w:hAnsi="Times New Roman" w:cs="Times New Roman"/>
          <w:sz w:val="20"/>
          <w:szCs w:val="20"/>
          <w:lang w:val="en-GB"/>
        </w:rPr>
        <w:t>,</w:t>
      </w:r>
      <w:r w:rsidR="003C41A1" w:rsidRPr="006E19A0">
        <w:rPr>
          <w:rFonts w:ascii="Times New Roman" w:hAnsi="Times New Roman" w:cs="Times New Roman"/>
          <w:sz w:val="20"/>
          <w:szCs w:val="20"/>
          <w:lang w:val="en-GB"/>
        </w:rPr>
        <w:t xml:space="preserve"> </w:t>
      </w:r>
      <w:r w:rsidR="003C41A1" w:rsidRPr="006E19A0">
        <w:rPr>
          <w:rFonts w:ascii="Times New Roman" w:hAnsi="Times New Roman" w:cs="Times New Roman"/>
          <w:i/>
          <w:iCs/>
          <w:sz w:val="20"/>
          <w:szCs w:val="20"/>
        </w:rPr>
        <w:t>Uca tangeri</w:t>
      </w:r>
      <w:r w:rsidRPr="006E19A0">
        <w:rPr>
          <w:rFonts w:ascii="Times New Roman" w:hAnsi="Times New Roman" w:cs="Times New Roman"/>
          <w:sz w:val="20"/>
          <w:szCs w:val="20"/>
          <w:lang w:val="en-GB"/>
        </w:rPr>
        <w:t>. The WSF</w:t>
      </w:r>
      <w:r w:rsidR="003C41A1"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lang w:val="en-GB"/>
        </w:rPr>
        <w:t>was observed to have elicited</w:t>
      </w:r>
      <w:r w:rsidR="003C41A1" w:rsidRPr="006E19A0">
        <w:rPr>
          <w:rFonts w:ascii="Times New Roman" w:hAnsi="Times New Roman" w:cs="Times New Roman"/>
          <w:sz w:val="20"/>
          <w:szCs w:val="20"/>
          <w:lang w:val="en-GB"/>
        </w:rPr>
        <w:t xml:space="preserve"> a concentration-dependent mortality </w:t>
      </w:r>
      <w:r w:rsidRPr="006E19A0">
        <w:rPr>
          <w:rFonts w:ascii="Times New Roman" w:hAnsi="Times New Roman" w:cs="Times New Roman"/>
          <w:sz w:val="20"/>
          <w:szCs w:val="20"/>
          <w:lang w:val="en-GB"/>
        </w:rPr>
        <w:t>effect on the test organism</w:t>
      </w:r>
      <w:r w:rsidR="003C41A1" w:rsidRPr="006E19A0">
        <w:rPr>
          <w:rFonts w:ascii="Times New Roman" w:hAnsi="Times New Roman" w:cs="Times New Roman"/>
          <w:sz w:val="20"/>
          <w:szCs w:val="20"/>
          <w:lang w:val="en-GB"/>
        </w:rPr>
        <w:t xml:space="preserve">. </w:t>
      </w:r>
      <w:r w:rsidR="003C41A1" w:rsidRPr="006E19A0">
        <w:rPr>
          <w:rFonts w:ascii="Times New Roman" w:hAnsi="Times New Roman" w:cs="Times New Roman"/>
          <w:sz w:val="20"/>
          <w:szCs w:val="20"/>
        </w:rPr>
        <w:t xml:space="preserve">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003C41A1" w:rsidRPr="006E19A0">
        <w:rPr>
          <w:rFonts w:ascii="Times New Roman" w:hAnsi="Times New Roman" w:cs="Times New Roman"/>
          <w:i/>
          <w:iCs/>
          <w:sz w:val="20"/>
          <w:szCs w:val="20"/>
        </w:rPr>
        <w:t>Uca tangeri</w:t>
      </w:r>
      <w:r w:rsidRPr="006E19A0">
        <w:rPr>
          <w:rFonts w:ascii="Times New Roman" w:hAnsi="Times New Roman" w:cs="Times New Roman"/>
          <w:sz w:val="20"/>
          <w:szCs w:val="20"/>
          <w:lang w:val="en-GB"/>
        </w:rPr>
        <w:t>.</w:t>
      </w:r>
      <w:r w:rsidR="003C41A1" w:rsidRPr="006E19A0">
        <w:rPr>
          <w:rFonts w:ascii="Times New Roman" w:hAnsi="Times New Roman" w:cs="Times New Roman"/>
          <w:sz w:val="20"/>
          <w:szCs w:val="20"/>
          <w:lang w:val="en-GB"/>
        </w:rPr>
        <w:t xml:space="preserve"> The toxicity of the WSF points to the base constituents of the test compound as seen in the altered </w:t>
      </w:r>
      <w:proofErr w:type="spellStart"/>
      <w:r w:rsidR="003C41A1" w:rsidRPr="006E19A0">
        <w:rPr>
          <w:rFonts w:ascii="Times New Roman" w:hAnsi="Times New Roman" w:cs="Times New Roman"/>
          <w:sz w:val="20"/>
          <w:szCs w:val="20"/>
          <w:lang w:val="en-GB"/>
        </w:rPr>
        <w:t>ph</w:t>
      </w:r>
      <w:r w:rsidRPr="006E19A0">
        <w:rPr>
          <w:rFonts w:ascii="Times New Roman" w:hAnsi="Times New Roman" w:cs="Times New Roman"/>
          <w:sz w:val="20"/>
          <w:szCs w:val="20"/>
          <w:lang w:val="en-GB"/>
        </w:rPr>
        <w:t>y</w:t>
      </w:r>
      <w:r w:rsidR="003C41A1" w:rsidRPr="006E19A0">
        <w:rPr>
          <w:rFonts w:ascii="Times New Roman" w:hAnsi="Times New Roman" w:cs="Times New Roman"/>
          <w:sz w:val="20"/>
          <w:szCs w:val="20"/>
          <w:lang w:val="en-GB"/>
        </w:rPr>
        <w:t>sico</w:t>
      </w:r>
      <w:proofErr w:type="spellEnd"/>
      <w:r w:rsidR="003C41A1" w:rsidRPr="006E19A0">
        <w:rPr>
          <w:rFonts w:ascii="Times New Roman" w:hAnsi="Times New Roman" w:cs="Times New Roman"/>
          <w:sz w:val="20"/>
          <w:szCs w:val="20"/>
          <w:lang w:val="en-GB"/>
        </w:rPr>
        <w:t>-chemistry of the</w:t>
      </w:r>
      <w:r w:rsidRPr="006E19A0">
        <w:rPr>
          <w:rFonts w:ascii="Times New Roman" w:hAnsi="Times New Roman" w:cs="Times New Roman"/>
          <w:sz w:val="20"/>
          <w:szCs w:val="20"/>
          <w:lang w:val="en-GB"/>
        </w:rPr>
        <w:t xml:space="preserve"> organism’s</w:t>
      </w:r>
      <w:r w:rsidR="003C41A1" w:rsidRPr="006E19A0">
        <w:rPr>
          <w:rFonts w:ascii="Times New Roman" w:hAnsi="Times New Roman" w:cs="Times New Roman"/>
          <w:sz w:val="20"/>
          <w:szCs w:val="20"/>
          <w:lang w:val="en-GB"/>
        </w:rPr>
        <w:t xml:space="preserve"> simulated habitat </w:t>
      </w:r>
    </w:p>
    <w:p w14:paraId="045B7C79" w14:textId="017718A7" w:rsidR="00C74787" w:rsidRPr="00702AD9" w:rsidRDefault="00C74787" w:rsidP="00702AD9">
      <w:pPr>
        <w:spacing w:after="120" w:line="360" w:lineRule="auto"/>
        <w:jc w:val="both"/>
        <w:rPr>
          <w:rFonts w:ascii="Times New Roman" w:hAnsi="Times New Roman" w:cs="Times New Roman"/>
          <w:b/>
          <w:bCs/>
          <w:lang w:val="en-GB"/>
        </w:rPr>
      </w:pPr>
    </w:p>
    <w:p w14:paraId="006F521C" w14:textId="4860C12D" w:rsidR="00C74787" w:rsidRPr="006E19A0" w:rsidRDefault="00C74787"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References</w:t>
      </w:r>
    </w:p>
    <w:p w14:paraId="4A9405EC" w14:textId="77777777"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Ali, B., Anushka, Mishra, A., 2022. Effects of dissolved oxygen concentration on freshwater fish: A review. Int J Fish Aquat Stud., 10(4):113-127. </w:t>
      </w:r>
      <w:hyperlink r:id="rId12" w:tgtFrame="_blank" w:history="1">
        <w:r w:rsidRPr="006E19A0">
          <w:rPr>
            <w:rStyle w:val="Hyperlink"/>
            <w:rFonts w:ascii="Times New Roman" w:hAnsi="Times New Roman" w:cs="Times New Roman"/>
            <w:sz w:val="20"/>
            <w:szCs w:val="20"/>
          </w:rPr>
          <w:t>https://doi.org/10.22271/fish.2022.v10.i4b.2693</w:t>
        </w:r>
      </w:hyperlink>
    </w:p>
    <w:p w14:paraId="26A95E51" w14:textId="64A3B2B4"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Abowei, J.F.N., 2010. Salinity, Dissolved Oxygen, pH and Surface Water Temperature Conditions in Nkoro River, Niger Delta, Nigeria. Advance Journal of Food Science and Technology, 2, 36-40</w:t>
      </w:r>
    </w:p>
    <w:p w14:paraId="1D66476C" w14:textId="6B6CB07D" w:rsidR="00FF004C" w:rsidRPr="006E19A0" w:rsidRDefault="00AF3938" w:rsidP="001D2A3F">
      <w:pPr>
        <w:jc w:val="both"/>
        <w:rPr>
          <w:rFonts w:ascii="Times New Roman" w:hAnsi="Times New Roman" w:cs="Times New Roman"/>
          <w:sz w:val="20"/>
          <w:szCs w:val="20"/>
          <w:lang w:val="en-GB"/>
        </w:rPr>
      </w:pPr>
      <w:r w:rsidRPr="006E19A0">
        <w:rPr>
          <w:rFonts w:ascii="Times New Roman" w:hAnsi="Times New Roman" w:cs="Times New Roman"/>
          <w:sz w:val="20"/>
          <w:szCs w:val="20"/>
        </w:rPr>
        <w:lastRenderedPageBreak/>
        <w:t>Gallo Corredor</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J</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A</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Humberto Pérez</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E</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Figueroa</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R</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Casas</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A.</w:t>
      </w:r>
      <w:r w:rsidRPr="006E19A0">
        <w:rPr>
          <w:rFonts w:ascii="Times New Roman" w:hAnsi="Times New Roman" w:cs="Times New Roman"/>
          <w:sz w:val="20"/>
          <w:szCs w:val="20"/>
          <w:lang w:val="en-GB"/>
        </w:rPr>
        <w:t>F.,</w:t>
      </w:r>
      <w:r w:rsidRPr="006E19A0">
        <w:rPr>
          <w:rFonts w:ascii="Times New Roman" w:hAnsi="Times New Roman" w:cs="Times New Roman"/>
          <w:sz w:val="20"/>
          <w:szCs w:val="20"/>
        </w:rPr>
        <w:t xml:space="preserve"> </w:t>
      </w:r>
      <w:r w:rsidRPr="006E19A0">
        <w:rPr>
          <w:rFonts w:ascii="Times New Roman" w:hAnsi="Times New Roman" w:cs="Times New Roman"/>
          <w:sz w:val="20"/>
          <w:szCs w:val="20"/>
          <w:lang w:val="en-GB"/>
        </w:rPr>
        <w:t xml:space="preserve">2021. </w:t>
      </w:r>
      <w:r w:rsidRPr="006E19A0">
        <w:rPr>
          <w:rFonts w:ascii="Times New Roman" w:hAnsi="Times New Roman" w:cs="Times New Roman"/>
          <w:sz w:val="20"/>
          <w:szCs w:val="20"/>
        </w:rPr>
        <w:t>Water quality of streams associated with artisanal gold mining; Suárez, Department of Cauca, Colombia. Heliyon.</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7(6)</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 xml:space="preserve">e07047. </w:t>
      </w:r>
      <w:hyperlink r:id="rId13" w:history="1">
        <w:r w:rsidRPr="00AF3938">
          <w:rPr>
            <w:rStyle w:val="Hyperlink"/>
            <w:rFonts w:ascii="Times New Roman" w:hAnsi="Times New Roman" w:cs="Times New Roman"/>
            <w:sz w:val="20"/>
            <w:szCs w:val="20"/>
          </w:rPr>
          <w:t>https://doi.org/</w:t>
        </w:r>
        <w:r w:rsidRPr="006E19A0">
          <w:rPr>
            <w:rStyle w:val="Hyperlink"/>
            <w:rFonts w:ascii="Times New Roman" w:hAnsi="Times New Roman" w:cs="Times New Roman"/>
            <w:sz w:val="20"/>
            <w:szCs w:val="20"/>
            <w:lang w:val="en-GB"/>
          </w:rPr>
          <w:t xml:space="preserve"> </w:t>
        </w:r>
        <w:r w:rsidRPr="006E19A0">
          <w:rPr>
            <w:rStyle w:val="Hyperlink"/>
            <w:rFonts w:ascii="Times New Roman" w:hAnsi="Times New Roman" w:cs="Times New Roman"/>
            <w:sz w:val="20"/>
            <w:szCs w:val="20"/>
          </w:rPr>
          <w:t>10.1016/j.heliyon.2021.e07047</w:t>
        </w:r>
      </w:hyperlink>
      <w:r w:rsidRPr="006E19A0">
        <w:rPr>
          <w:rFonts w:ascii="Times New Roman" w:hAnsi="Times New Roman" w:cs="Times New Roman"/>
          <w:sz w:val="20"/>
          <w:szCs w:val="20"/>
        </w:rPr>
        <w:t>.</w:t>
      </w:r>
    </w:p>
    <w:p w14:paraId="63F68D45" w14:textId="4D687AA8"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de Santana, D.C.N., Moreira, L.B., Cruz, A.C.F., Perina, F.C., Lourenco, R.A., Abessa, D.M.de-S., 2025. Chemical Composition and Toxicity of Water-Soluble Fractions of Oil Samples from the Extensive Spill in Northeast Brazil. Bulletin for Environmental Contamination and Toxicology 114, 4. </w:t>
      </w:r>
      <w:hyperlink r:id="rId14" w:history="1">
        <w:r w:rsidRPr="006E19A0">
          <w:rPr>
            <w:rStyle w:val="Hyperlink"/>
            <w:rFonts w:ascii="Times New Roman" w:hAnsi="Times New Roman" w:cs="Times New Roman"/>
            <w:sz w:val="20"/>
            <w:szCs w:val="20"/>
          </w:rPr>
          <w:t>https://doi.org/10.1007/s00128-024-03985-9</w:t>
        </w:r>
      </w:hyperlink>
    </w:p>
    <w:p w14:paraId="65DF3D4E" w14:textId="12125293"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Edema, N.E., 2010. Comparative assessment of produced water (PW) and water-soluble fraction (WSF) of crude oil on the growth and catalase activity of Allium cepa. Journal of Applied Biosciences. 30:1866 – 1972.</w:t>
      </w:r>
    </w:p>
    <w:p w14:paraId="5A6648E3" w14:textId="4D5B1373"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Edema, N.E., 2009. Total salinity of the water-soluble fraction (WSF) of Ogini wellhead crude oil before and after exposure to Azolla Africana. Nigeria Journal of Botany, 22 (2): 239 – 246.</w:t>
      </w:r>
    </w:p>
    <w:p w14:paraId="0B9CDC84" w14:textId="1BC4590C"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Ighalo, J.O., Adeniyi, A.G., 2020. A comprehensive review of water quality monitoring and assessment in Nigeria. Chemosphere, 260, 127569. </w:t>
      </w:r>
      <w:hyperlink r:id="rId15" w:history="1">
        <w:r w:rsidRPr="006E19A0">
          <w:rPr>
            <w:rStyle w:val="Hyperlink"/>
            <w:rFonts w:ascii="Times New Roman" w:hAnsi="Times New Roman" w:cs="Times New Roman"/>
            <w:sz w:val="20"/>
            <w:szCs w:val="20"/>
          </w:rPr>
          <w:t>https://doi.org/10.1016/j.chemosphere.2020.127569</w:t>
        </w:r>
      </w:hyperlink>
    </w:p>
    <w:p w14:paraId="67CE8518" w14:textId="1AC5B86B" w:rsidR="001D2A3F"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Karikari, A.Y., Ansa-Asare, O.D., 2006. Physico-Chemical and Microbial Water Quality Assessment of the Densu River of Ghana. West African Journal of Applied Ecology, 10, 87-100.</w:t>
      </w:r>
    </w:p>
    <w:p w14:paraId="0080BCFF" w14:textId="47FA48FA"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Keitel-Gröner, F., Bamber, S., Bechmann, R.K., Lyng, E., Gomiero, A., Tronci, V., Gharbi, N., Engen, F., Taban, I.C., Baussant, T., 2021. Effects of chronic exposure to the water-soluble fraction of crude oil and in situ burn residue of oil on egg-bearing Northern shrimp (Pandalus borealis). Ecotoxicology and Environmental Safety, 228, 113013. </w:t>
      </w:r>
      <w:hyperlink r:id="rId16" w:history="1">
        <w:r w:rsidRPr="006E19A0">
          <w:rPr>
            <w:rStyle w:val="Hyperlink"/>
            <w:rFonts w:ascii="Times New Roman" w:hAnsi="Times New Roman" w:cs="Times New Roman"/>
            <w:sz w:val="20"/>
            <w:szCs w:val="20"/>
          </w:rPr>
          <w:t>https://doi.org/10.1016/j.ecoenv.2021.113013</w:t>
        </w:r>
      </w:hyperlink>
      <w:r w:rsidRPr="006E19A0">
        <w:rPr>
          <w:rFonts w:ascii="Times New Roman" w:hAnsi="Times New Roman" w:cs="Times New Roman"/>
          <w:sz w:val="20"/>
          <w:szCs w:val="20"/>
        </w:rPr>
        <w:t>.</w:t>
      </w:r>
    </w:p>
    <w:p w14:paraId="14FC24C1" w14:textId="281AAEF2" w:rsidR="001D2A3F"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Lage, S., Toffolo, A., Gentili., 2021. Microalgal growth, nitrogen uptake and storage, and dissolved oxygen production in a polyculture based-open pond fed with municipal wastewater in northern Sweden. Chemosphere, 276, 130122. </w:t>
      </w:r>
      <w:hyperlink r:id="rId17" w:history="1">
        <w:r w:rsidRPr="006E19A0">
          <w:rPr>
            <w:rStyle w:val="Hyperlink"/>
            <w:rFonts w:ascii="Times New Roman" w:hAnsi="Times New Roman" w:cs="Times New Roman"/>
            <w:sz w:val="20"/>
            <w:szCs w:val="20"/>
          </w:rPr>
          <w:t>https://doi.org/10.1016/j.chemosphere.2021.130122</w:t>
        </w:r>
      </w:hyperlink>
    </w:p>
    <w:p w14:paraId="3BEC6CE0" w14:textId="790020ED"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Monteiro, L., Traunspurger, W., Lynen, F., Moens, T., 2019. Effects of the water-soluble fraction of a crude oil on estuarine meiofauna: A microcosm approach. Marine Environmental Research, 147, 113-125. </w:t>
      </w:r>
      <w:hyperlink r:id="rId18" w:history="1">
        <w:r w:rsidRPr="006E19A0">
          <w:rPr>
            <w:rStyle w:val="Hyperlink"/>
            <w:rFonts w:ascii="Times New Roman" w:hAnsi="Times New Roman" w:cs="Times New Roman"/>
            <w:sz w:val="20"/>
            <w:szCs w:val="20"/>
          </w:rPr>
          <w:t>https://doi.org/10.1016/j.marenvres.2019.04.006</w:t>
        </w:r>
      </w:hyperlink>
      <w:r w:rsidRPr="006E19A0">
        <w:rPr>
          <w:rFonts w:ascii="Times New Roman" w:hAnsi="Times New Roman" w:cs="Times New Roman"/>
          <w:sz w:val="20"/>
          <w:szCs w:val="20"/>
        </w:rPr>
        <w:t>.</w:t>
      </w:r>
    </w:p>
    <w:p w14:paraId="09A9CC3F" w14:textId="01075D34"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Morrison, K.G., Reynolds, J.K., Wright, I.A., 2019. Subsidence Fracturing of Stream Channel from Longwall Coal Mining Causing Upwelling Saline Groundwater and Metal-Enriched Contamination of Surface Waterway. Water Air Soil Pollut 230, 37. </w:t>
      </w:r>
      <w:hyperlink r:id="rId19" w:history="1">
        <w:r w:rsidRPr="006E19A0">
          <w:rPr>
            <w:rStyle w:val="Hyperlink"/>
            <w:rFonts w:ascii="Times New Roman" w:hAnsi="Times New Roman" w:cs="Times New Roman"/>
            <w:sz w:val="20"/>
            <w:szCs w:val="20"/>
          </w:rPr>
          <w:t>https://doi.org/10.1007/s11270-019-4082-4</w:t>
        </w:r>
      </w:hyperlink>
    </w:p>
    <w:p w14:paraId="72FA554C" w14:textId="78199D05" w:rsidR="00C74787" w:rsidRPr="006E19A0" w:rsidRDefault="00C74787"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Murray, D.A.J., Lockhart, W.L., Webster, G.R.B., 1984. Analysis of the water-soluble fraction of crude oils and petroleum products by gas chromatography. Oil and Petrochemical Pollution, 2(1), 39-46. </w:t>
      </w:r>
      <w:hyperlink r:id="rId20" w:history="1">
        <w:r w:rsidRPr="006E19A0">
          <w:rPr>
            <w:rStyle w:val="Hyperlink"/>
            <w:rFonts w:ascii="Times New Roman" w:hAnsi="Times New Roman" w:cs="Times New Roman"/>
            <w:sz w:val="20"/>
            <w:szCs w:val="20"/>
          </w:rPr>
          <w:t>https://doi.org/10.1016/S0143-7127(84)90701-4</w:t>
        </w:r>
      </w:hyperlink>
      <w:r w:rsidRPr="006E19A0">
        <w:rPr>
          <w:rFonts w:ascii="Times New Roman" w:hAnsi="Times New Roman" w:cs="Times New Roman"/>
          <w:sz w:val="20"/>
          <w:szCs w:val="20"/>
        </w:rPr>
        <w:t>.</w:t>
      </w:r>
    </w:p>
    <w:p w14:paraId="5555981C" w14:textId="2E40A0A3" w:rsidR="00C74787" w:rsidRPr="006E19A0" w:rsidRDefault="00C74787"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Shiu, W.Y., Bobra, M., Bobra, A.M., Maijanen, A., Suntio, L., Mackay, D., 1990. The water solubility of crude oils and petroleum products. Oil and Chemical Pollution, 7, 57-84.. </w:t>
      </w:r>
      <w:hyperlink r:id="rId21" w:history="1">
        <w:r w:rsidRPr="006E19A0">
          <w:rPr>
            <w:rStyle w:val="Hyperlink"/>
            <w:rFonts w:ascii="Times New Roman" w:hAnsi="Times New Roman" w:cs="Times New Roman"/>
            <w:sz w:val="20"/>
            <w:szCs w:val="20"/>
          </w:rPr>
          <w:t>https://doi.org/10.1016/S0269-8579(05)80034-6</w:t>
        </w:r>
      </w:hyperlink>
      <w:r w:rsidRPr="006E19A0">
        <w:rPr>
          <w:rFonts w:ascii="Times New Roman" w:hAnsi="Times New Roman" w:cs="Times New Roman"/>
          <w:sz w:val="20"/>
          <w:szCs w:val="20"/>
        </w:rPr>
        <w:t>.</w:t>
      </w:r>
    </w:p>
    <w:p w14:paraId="29772BB1" w14:textId="799818C5" w:rsidR="00C37F07" w:rsidRPr="006E19A0" w:rsidRDefault="00C37F07" w:rsidP="001D2A3F">
      <w:pPr>
        <w:jc w:val="both"/>
        <w:rPr>
          <w:rFonts w:ascii="Times New Roman" w:hAnsi="Times New Roman" w:cs="Times New Roman"/>
          <w:sz w:val="20"/>
          <w:szCs w:val="20"/>
        </w:rPr>
      </w:pPr>
      <w:r w:rsidRPr="006E19A0">
        <w:rPr>
          <w:rFonts w:ascii="Times New Roman" w:hAnsi="Times New Roman" w:cs="Times New Roman"/>
          <w:sz w:val="20"/>
          <w:szCs w:val="20"/>
        </w:rPr>
        <w:t>Nwankwoala, H.</w:t>
      </w:r>
      <w:r w:rsidR="008824CC" w:rsidRPr="006E19A0">
        <w:rPr>
          <w:rFonts w:ascii="Times New Roman" w:hAnsi="Times New Roman" w:cs="Times New Roman"/>
          <w:sz w:val="20"/>
          <w:szCs w:val="20"/>
        </w:rPr>
        <w:t>,</w:t>
      </w:r>
      <w:r w:rsidRPr="006E19A0">
        <w:rPr>
          <w:rFonts w:ascii="Times New Roman" w:hAnsi="Times New Roman" w:cs="Times New Roman"/>
          <w:sz w:val="20"/>
          <w:szCs w:val="20"/>
        </w:rPr>
        <w:t xml:space="preserve"> Oboriem E.</w:t>
      </w:r>
      <w:r w:rsidR="008824CC" w:rsidRPr="006E19A0">
        <w:rPr>
          <w:rFonts w:ascii="Times New Roman" w:hAnsi="Times New Roman" w:cs="Times New Roman"/>
          <w:sz w:val="20"/>
          <w:szCs w:val="20"/>
        </w:rPr>
        <w:t>,</w:t>
      </w:r>
      <w:r w:rsidRPr="006E19A0">
        <w:rPr>
          <w:rFonts w:ascii="Times New Roman" w:hAnsi="Times New Roman" w:cs="Times New Roman"/>
          <w:sz w:val="20"/>
          <w:szCs w:val="20"/>
        </w:rPr>
        <w:t xml:space="preserve"> 2018 Geological and hydrogeological characterizationof a hydrocarbon impacted site in the Niger Delta. Pakistan Journal ofGeology, 2:12-17.  </w:t>
      </w:r>
      <w:hyperlink r:id="rId22" w:history="1">
        <w:r w:rsidR="001D2A3F" w:rsidRPr="006E19A0">
          <w:rPr>
            <w:rStyle w:val="Hyperlink"/>
            <w:rFonts w:ascii="Times New Roman" w:hAnsi="Times New Roman" w:cs="Times New Roman"/>
            <w:sz w:val="20"/>
            <w:szCs w:val="20"/>
          </w:rPr>
          <w:t>http://doi.org/10.26480/</w:t>
        </w:r>
        <w:r w:rsidR="001D2A3F" w:rsidRPr="006E19A0">
          <w:rPr>
            <w:rStyle w:val="Hyperlink"/>
            <w:rFonts w:ascii="Times New Roman" w:hAnsi="Times New Roman" w:cs="Times New Roman"/>
            <w:sz w:val="20"/>
            <w:szCs w:val="20"/>
            <w:lang w:val="en-GB"/>
          </w:rPr>
          <w:t xml:space="preserve"> </w:t>
        </w:r>
        <w:r w:rsidR="001D2A3F" w:rsidRPr="006E19A0">
          <w:rPr>
            <w:rStyle w:val="Hyperlink"/>
            <w:rFonts w:ascii="Times New Roman" w:hAnsi="Times New Roman" w:cs="Times New Roman"/>
            <w:sz w:val="20"/>
            <w:szCs w:val="20"/>
          </w:rPr>
          <w:t>pjg.01.2018.12.17</w:t>
        </w:r>
      </w:hyperlink>
    </w:p>
    <w:p w14:paraId="471D8091" w14:textId="4F8ADA48" w:rsidR="00063BC0" w:rsidRPr="006E19A0" w:rsidRDefault="008824C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Reish, D.J., Oshida, P.S., Mearns, A.J., Ginn, T.C., 1993. Effects of pollution on saltwater organisms. Water Environment Research, 65(4), 573–585. </w:t>
      </w:r>
      <w:hyperlink r:id="rId23" w:history="1">
        <w:r w:rsidR="001D2A3F" w:rsidRPr="006E19A0">
          <w:rPr>
            <w:rStyle w:val="Hyperlink"/>
            <w:rFonts w:ascii="Times New Roman" w:hAnsi="Times New Roman" w:cs="Times New Roman"/>
            <w:sz w:val="20"/>
            <w:szCs w:val="20"/>
          </w:rPr>
          <w:t>https://doi.org/10.1002/j.1554-7531.1993.tb00086.x</w:t>
        </w:r>
      </w:hyperlink>
    </w:p>
    <w:p w14:paraId="006412AD" w14:textId="7CC63D00" w:rsidR="00C16570" w:rsidRPr="006E19A0" w:rsidRDefault="00063BC0"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Ogeleka, D.F., Edjere, O., Nwudu, A., Okieimen, F.E., 2016. Ecological effects of oil spill on pelagic and bottom dwelling organisms in the riverine areas of Odidi and Egwa in Warri, Delta State. Journal of Ecology and the Natural Environment, 8(12), 201–211. </w:t>
      </w:r>
      <w:hyperlink r:id="rId24" w:history="1">
        <w:r w:rsidR="001D2A3F" w:rsidRPr="006E19A0">
          <w:rPr>
            <w:rStyle w:val="Hyperlink"/>
            <w:rFonts w:ascii="Times New Roman" w:hAnsi="Times New Roman" w:cs="Times New Roman"/>
            <w:sz w:val="20"/>
            <w:szCs w:val="20"/>
          </w:rPr>
          <w:t>https://doi.org/10.5897/JENE2016.0593</w:t>
        </w:r>
      </w:hyperlink>
    </w:p>
    <w:p w14:paraId="0E00552F" w14:textId="2AF6EF2E" w:rsidR="00C16570" w:rsidRPr="006E19A0" w:rsidRDefault="00C16570" w:rsidP="001D2A3F">
      <w:pPr>
        <w:jc w:val="both"/>
        <w:rPr>
          <w:rFonts w:ascii="Times New Roman" w:hAnsi="Times New Roman" w:cs="Times New Roman"/>
          <w:sz w:val="20"/>
          <w:szCs w:val="20"/>
        </w:rPr>
      </w:pPr>
      <w:r w:rsidRPr="006E19A0">
        <w:rPr>
          <w:rFonts w:ascii="Times New Roman" w:hAnsi="Times New Roman" w:cs="Times New Roman"/>
          <w:sz w:val="20"/>
          <w:szCs w:val="20"/>
        </w:rPr>
        <w:t>Nahhal, D., El-Nahhal, I., Najar, H., Al-Agha, M.</w:t>
      </w:r>
      <w:r w:rsidR="003A2759" w:rsidRPr="006E19A0">
        <w:rPr>
          <w:rFonts w:ascii="Times New Roman" w:hAnsi="Times New Roman" w:cs="Times New Roman"/>
          <w:sz w:val="20"/>
          <w:szCs w:val="20"/>
        </w:rPr>
        <w:t xml:space="preserve">, </w:t>
      </w:r>
      <w:r w:rsidRPr="006E19A0">
        <w:rPr>
          <w:rFonts w:ascii="Times New Roman" w:hAnsi="Times New Roman" w:cs="Times New Roman"/>
          <w:sz w:val="20"/>
          <w:szCs w:val="20"/>
        </w:rPr>
        <w:t>El-Nahhal, Y.</w:t>
      </w:r>
      <w:r w:rsidR="003A2759" w:rsidRPr="006E19A0">
        <w:rPr>
          <w:rFonts w:ascii="Times New Roman" w:hAnsi="Times New Roman" w:cs="Times New Roman"/>
          <w:sz w:val="20"/>
          <w:szCs w:val="20"/>
        </w:rPr>
        <w:t>,</w:t>
      </w:r>
      <w:r w:rsidRPr="006E19A0">
        <w:rPr>
          <w:rFonts w:ascii="Times New Roman" w:hAnsi="Times New Roman" w:cs="Times New Roman"/>
          <w:sz w:val="20"/>
          <w:szCs w:val="20"/>
        </w:rPr>
        <w:t xml:space="preserve"> 2021</w:t>
      </w:r>
      <w:r w:rsidR="003A2759" w:rsidRPr="006E19A0">
        <w:rPr>
          <w:rFonts w:ascii="Times New Roman" w:hAnsi="Times New Roman" w:cs="Times New Roman"/>
          <w:sz w:val="20"/>
          <w:szCs w:val="20"/>
        </w:rPr>
        <w:t>.</w:t>
      </w:r>
      <w:r w:rsidRPr="006E19A0">
        <w:rPr>
          <w:rFonts w:ascii="Times New Roman" w:hAnsi="Times New Roman" w:cs="Times New Roman"/>
          <w:sz w:val="20"/>
          <w:szCs w:val="20"/>
        </w:rPr>
        <w:t xml:space="preserve"> Acidity, Electric Conductivity, Dissolved Oxygen Total Dissolved Solid and Salinity Profiles of Marine Water in Gaza: Influence of Wastewater Discharge. American Journal of Analytical Chemistry, 12, 408-428. </w:t>
      </w:r>
      <w:r w:rsidR="003A2759" w:rsidRPr="006E19A0">
        <w:rPr>
          <w:rFonts w:ascii="Times New Roman" w:hAnsi="Times New Roman" w:cs="Times New Roman"/>
          <w:sz w:val="20"/>
          <w:szCs w:val="20"/>
        </w:rPr>
        <w:t>https://doi.org/</w:t>
      </w:r>
      <w:hyperlink r:id="rId25" w:tgtFrame="_blank" w:history="1">
        <w:r w:rsidRPr="006E19A0">
          <w:rPr>
            <w:rStyle w:val="Hyperlink"/>
            <w:rFonts w:ascii="Times New Roman" w:hAnsi="Times New Roman" w:cs="Times New Roman"/>
            <w:sz w:val="20"/>
            <w:szCs w:val="20"/>
          </w:rPr>
          <w:t>10.4236/ajac.2021.1211025</w:t>
        </w:r>
      </w:hyperlink>
      <w:r w:rsidRPr="006E19A0">
        <w:rPr>
          <w:rFonts w:ascii="Times New Roman" w:hAnsi="Times New Roman" w:cs="Times New Roman"/>
          <w:sz w:val="20"/>
          <w:szCs w:val="20"/>
        </w:rPr>
        <w:t>.</w:t>
      </w:r>
    </w:p>
    <w:p w14:paraId="51E6A989" w14:textId="1D0499CB" w:rsidR="003A2759" w:rsidRPr="006E19A0" w:rsidRDefault="003A2759" w:rsidP="001D2A3F">
      <w:pPr>
        <w:jc w:val="both"/>
        <w:rPr>
          <w:rFonts w:ascii="Times New Roman" w:hAnsi="Times New Roman" w:cs="Times New Roman"/>
          <w:sz w:val="20"/>
          <w:szCs w:val="20"/>
        </w:rPr>
      </w:pPr>
      <w:r w:rsidRPr="006E19A0">
        <w:rPr>
          <w:rFonts w:ascii="Times New Roman" w:hAnsi="Times New Roman" w:cs="Times New Roman"/>
          <w:sz w:val="20"/>
          <w:szCs w:val="20"/>
        </w:rPr>
        <w:lastRenderedPageBreak/>
        <w:t>Nduka, J., Okafor, V., Odiba, I., 2016. Impact of Oil and Gas Activities on Acidity of Rain and Surface Water of Niger Delta, Nigeria: An Environmental and Public Health Review. Journal of Environmental Protection, 7, 566-581. https://doi.org/</w:t>
      </w:r>
      <w:hyperlink r:id="rId26" w:tgtFrame="_blank" w:history="1">
        <w:r w:rsidRPr="006E19A0">
          <w:rPr>
            <w:rStyle w:val="Hyperlink"/>
            <w:rFonts w:ascii="Times New Roman" w:hAnsi="Times New Roman" w:cs="Times New Roman"/>
            <w:sz w:val="20"/>
            <w:szCs w:val="20"/>
          </w:rPr>
          <w:t>10.4236/jep.2016.74051</w:t>
        </w:r>
      </w:hyperlink>
      <w:r w:rsidRPr="006E19A0">
        <w:rPr>
          <w:rFonts w:ascii="Times New Roman" w:hAnsi="Times New Roman" w:cs="Times New Roman"/>
          <w:sz w:val="20"/>
          <w:szCs w:val="20"/>
        </w:rPr>
        <w:t>.</w:t>
      </w:r>
    </w:p>
    <w:p w14:paraId="02A372A4" w14:textId="2BBEBA82" w:rsidR="00A06817"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Ramanathan, N., Padmavathy, P., Francis, T., Athithian, S., Selvaranjitham, N., 2005. Manual on polyculture of tiger shrimp and carps in freshwater. Tamil Nadu Veterinary and Animal Sciences University, Fisheries College and Research Institute, Thothukudi, p.161</w:t>
      </w:r>
      <w:r w:rsidR="00DB0C4F" w:rsidRPr="006E19A0">
        <w:rPr>
          <w:rFonts w:ascii="Times New Roman" w:hAnsi="Times New Roman" w:cs="Times New Roman"/>
          <w:sz w:val="20"/>
          <w:szCs w:val="20"/>
        </w:rPr>
        <w:t>.</w:t>
      </w:r>
    </w:p>
    <w:p w14:paraId="0E69351C" w14:textId="7A1C5ECF" w:rsidR="001D2A3F"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Tepe, Y., Boyd, C.E., 2002. Sediment Quality in Arkansas Bait Minnow Ponds. Journal of the World Aquaculture Society, 33(3), 221-232. </w:t>
      </w:r>
      <w:hyperlink r:id="rId27" w:history="1">
        <w:r w:rsidRPr="006E19A0">
          <w:rPr>
            <w:rStyle w:val="Hyperlink"/>
            <w:rFonts w:ascii="Times New Roman" w:hAnsi="Times New Roman" w:cs="Times New Roman"/>
            <w:sz w:val="20"/>
            <w:szCs w:val="20"/>
          </w:rPr>
          <w:t>https://doi.org/10.1111/j.1749-7345.2002.tb00499.x</w:t>
        </w:r>
      </w:hyperlink>
    </w:p>
    <w:p w14:paraId="497D3076" w14:textId="1A461A3C" w:rsidR="00A06817"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Wang, W-N., Wang, A-L., Chen, L., Liu, Y., Sun, R-Y., 2002. Effects of pH on survival, phosphorus concentration, adenylate energy charge and Na+–K+ ATPase activities of Penaeus chinensis Osbeck juveniles. Aquatic Toxicology, 60 (1–2), 75-83. </w:t>
      </w:r>
      <w:hyperlink r:id="rId28" w:history="1">
        <w:r w:rsidRPr="006E19A0">
          <w:rPr>
            <w:rStyle w:val="Hyperlink"/>
            <w:rFonts w:ascii="Times New Roman" w:hAnsi="Times New Roman" w:cs="Times New Roman"/>
            <w:sz w:val="20"/>
            <w:szCs w:val="20"/>
          </w:rPr>
          <w:t>https://doi.org/10.1016/S0166-445X(01)00271-5</w:t>
        </w:r>
      </w:hyperlink>
    </w:p>
    <w:p w14:paraId="246BDE51" w14:textId="76A65E9C" w:rsidR="00CC3108" w:rsidRPr="006E19A0" w:rsidRDefault="00CC3108"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Wilén, B. (2010). Variation in dissolved oxygen concentration and its effect on the activated sludge properties studied at a </w:t>
      </w:r>
      <w:r w:rsidR="00CE735C" w:rsidRPr="006E19A0">
        <w:rPr>
          <w:rFonts w:ascii="Times New Roman" w:hAnsi="Times New Roman" w:cs="Times New Roman"/>
          <w:sz w:val="20"/>
          <w:szCs w:val="20"/>
        </w:rPr>
        <w:t>full-scale</w:t>
      </w:r>
      <w:r w:rsidRPr="006E19A0">
        <w:rPr>
          <w:rFonts w:ascii="Times New Roman" w:hAnsi="Times New Roman" w:cs="Times New Roman"/>
          <w:sz w:val="20"/>
          <w:szCs w:val="20"/>
        </w:rPr>
        <w:t xml:space="preserve"> wastewater treatment plant. </w:t>
      </w:r>
      <w:r w:rsidR="00DD4CE7" w:rsidRPr="006E19A0">
        <w:rPr>
          <w:rFonts w:ascii="Times New Roman" w:hAnsi="Times New Roman" w:cs="Times New Roman"/>
          <w:sz w:val="20"/>
          <w:szCs w:val="20"/>
        </w:rPr>
        <w:t>Published In the proceedings of IWA World Water Congress &amp; Exhibition, 19-24 September 2010 in Montreal</w:t>
      </w:r>
    </w:p>
    <w:p w14:paraId="0B113EEA" w14:textId="6788824D" w:rsidR="0048522F" w:rsidRPr="006E19A0" w:rsidRDefault="00CC3108" w:rsidP="001D2A3F">
      <w:pPr>
        <w:jc w:val="both"/>
        <w:rPr>
          <w:rFonts w:ascii="Times New Roman" w:hAnsi="Times New Roman" w:cs="Times New Roman"/>
          <w:sz w:val="20"/>
          <w:szCs w:val="20"/>
        </w:rPr>
      </w:pPr>
      <w:r w:rsidRPr="006E19A0">
        <w:rPr>
          <w:rFonts w:ascii="Times New Roman" w:hAnsi="Times New Roman" w:cs="Times New Roman"/>
          <w:sz w:val="20"/>
          <w:szCs w:val="20"/>
        </w:rPr>
        <w:t>Wilén, B.-M. and Balmér, P. (1999) The effect of dissolved oxygen concentration on the structure, size and size distribution of activated sludge flocs, Water Res. 33, 391-400.</w:t>
      </w:r>
    </w:p>
    <w:p w14:paraId="420C0FC2" w14:textId="3BAB0266" w:rsidR="0048522F" w:rsidRPr="006E19A0" w:rsidRDefault="0048522F" w:rsidP="001D2A3F">
      <w:pPr>
        <w:jc w:val="both"/>
        <w:rPr>
          <w:rFonts w:ascii="Times New Roman" w:hAnsi="Times New Roman" w:cs="Times New Roman"/>
          <w:sz w:val="20"/>
          <w:szCs w:val="20"/>
        </w:rPr>
      </w:pPr>
      <w:r w:rsidRPr="006E19A0">
        <w:rPr>
          <w:rFonts w:ascii="Times New Roman" w:hAnsi="Times New Roman" w:cs="Times New Roman"/>
          <w:sz w:val="20"/>
          <w:szCs w:val="20"/>
        </w:rPr>
        <w:t>Zhao, Y., Newman, M.C., 2004. Shortcomings of the laboratory‐derived median lethal concentration for predicting mortality in field populations: Exposure duration and latent mortality, Environmental Toxicology and Chemistry, 23(9</w:t>
      </w:r>
      <w:r w:rsidR="00BE6759" w:rsidRPr="006E19A0">
        <w:rPr>
          <w:rFonts w:ascii="Times New Roman" w:hAnsi="Times New Roman" w:cs="Times New Roman"/>
          <w:sz w:val="20"/>
          <w:szCs w:val="20"/>
        </w:rPr>
        <w:t>)</w:t>
      </w:r>
      <w:r w:rsidRPr="006E19A0">
        <w:rPr>
          <w:rFonts w:ascii="Times New Roman" w:hAnsi="Times New Roman" w:cs="Times New Roman"/>
          <w:sz w:val="20"/>
          <w:szCs w:val="20"/>
        </w:rPr>
        <w:t>, 2147–2153</w:t>
      </w:r>
      <w:r w:rsidR="00BE6759" w:rsidRPr="006E19A0">
        <w:rPr>
          <w:rFonts w:ascii="Times New Roman" w:hAnsi="Times New Roman" w:cs="Times New Roman"/>
          <w:sz w:val="20"/>
          <w:szCs w:val="20"/>
        </w:rPr>
        <w:t>. </w:t>
      </w:r>
      <w:hyperlink r:id="rId29" w:history="1">
        <w:r w:rsidR="00BE6759" w:rsidRPr="006E19A0">
          <w:rPr>
            <w:rStyle w:val="Hyperlink"/>
            <w:rFonts w:ascii="Times New Roman" w:hAnsi="Times New Roman" w:cs="Times New Roman"/>
            <w:sz w:val="20"/>
            <w:szCs w:val="20"/>
          </w:rPr>
          <w:t>https://doi.org/10.1897/03-557</w:t>
        </w:r>
      </w:hyperlink>
    </w:p>
    <w:sectPr w:rsidR="0048522F" w:rsidRPr="006E19A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EDDE7" w14:textId="77777777" w:rsidR="000972FD" w:rsidRDefault="000972FD" w:rsidP="002C2D47">
      <w:pPr>
        <w:spacing w:after="0" w:line="240" w:lineRule="auto"/>
      </w:pPr>
      <w:r>
        <w:separator/>
      </w:r>
    </w:p>
  </w:endnote>
  <w:endnote w:type="continuationSeparator" w:id="0">
    <w:p w14:paraId="28634C27" w14:textId="77777777" w:rsidR="000972FD" w:rsidRDefault="000972FD" w:rsidP="002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9541" w14:textId="77777777" w:rsidR="00EA1D69" w:rsidRDefault="00EA1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C56D" w14:textId="77777777" w:rsidR="00EA1D69" w:rsidRDefault="00EA1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90CF" w14:textId="77777777" w:rsidR="00EA1D69" w:rsidRDefault="00EA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BBD12" w14:textId="77777777" w:rsidR="000972FD" w:rsidRDefault="000972FD" w:rsidP="002C2D47">
      <w:pPr>
        <w:spacing w:after="0" w:line="240" w:lineRule="auto"/>
      </w:pPr>
      <w:r>
        <w:separator/>
      </w:r>
    </w:p>
  </w:footnote>
  <w:footnote w:type="continuationSeparator" w:id="0">
    <w:p w14:paraId="7817BAF2" w14:textId="77777777" w:rsidR="000972FD" w:rsidRDefault="000972FD" w:rsidP="002C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EBFB" w14:textId="1EAEA61D" w:rsidR="00EA1D69" w:rsidRDefault="00EA1D69">
    <w:pPr>
      <w:pStyle w:val="Header"/>
    </w:pPr>
    <w:r>
      <w:rPr>
        <w:noProof/>
      </w:rPr>
      <w:pict w14:anchorId="2A65C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4A2C" w14:textId="635D81A9" w:rsidR="00EA1D69" w:rsidRDefault="00EA1D69">
    <w:pPr>
      <w:pStyle w:val="Header"/>
    </w:pPr>
    <w:r>
      <w:rPr>
        <w:noProof/>
      </w:rPr>
      <w:pict w14:anchorId="72528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FB1E" w14:textId="51A76DD2" w:rsidR="00EA1D69" w:rsidRDefault="00EA1D69">
    <w:pPr>
      <w:pStyle w:val="Header"/>
    </w:pPr>
    <w:r>
      <w:rPr>
        <w:noProof/>
      </w:rPr>
      <w:pict w14:anchorId="79FB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3C1C"/>
    <w:multiLevelType w:val="hybridMultilevel"/>
    <w:tmpl w:val="F56011EC"/>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5E"/>
    <w:rsid w:val="00063BC0"/>
    <w:rsid w:val="000770EF"/>
    <w:rsid w:val="000972FD"/>
    <w:rsid w:val="000C464A"/>
    <w:rsid w:val="000D1C51"/>
    <w:rsid w:val="00127C18"/>
    <w:rsid w:val="001B0EB6"/>
    <w:rsid w:val="001D2A3F"/>
    <w:rsid w:val="00203ABE"/>
    <w:rsid w:val="002A1550"/>
    <w:rsid w:val="002A2D17"/>
    <w:rsid w:val="002B35FE"/>
    <w:rsid w:val="002C2D47"/>
    <w:rsid w:val="002E6D85"/>
    <w:rsid w:val="00342599"/>
    <w:rsid w:val="00342F6F"/>
    <w:rsid w:val="0037441C"/>
    <w:rsid w:val="003A2759"/>
    <w:rsid w:val="003C41A1"/>
    <w:rsid w:val="00410C8A"/>
    <w:rsid w:val="0048522F"/>
    <w:rsid w:val="004D4747"/>
    <w:rsid w:val="0057363F"/>
    <w:rsid w:val="005A12E3"/>
    <w:rsid w:val="005D1A3E"/>
    <w:rsid w:val="006A19F9"/>
    <w:rsid w:val="006D6B15"/>
    <w:rsid w:val="006E19A0"/>
    <w:rsid w:val="00702AD9"/>
    <w:rsid w:val="00706CDC"/>
    <w:rsid w:val="00787EE3"/>
    <w:rsid w:val="007B3231"/>
    <w:rsid w:val="008824CC"/>
    <w:rsid w:val="008B4E75"/>
    <w:rsid w:val="008C65A7"/>
    <w:rsid w:val="009A4520"/>
    <w:rsid w:val="009B46A6"/>
    <w:rsid w:val="009C395E"/>
    <w:rsid w:val="00A06817"/>
    <w:rsid w:val="00AA427F"/>
    <w:rsid w:val="00AC6FC7"/>
    <w:rsid w:val="00AF3938"/>
    <w:rsid w:val="00B5554B"/>
    <w:rsid w:val="00BA25F2"/>
    <w:rsid w:val="00BA2F53"/>
    <w:rsid w:val="00BC22F7"/>
    <w:rsid w:val="00BE6759"/>
    <w:rsid w:val="00BF50CD"/>
    <w:rsid w:val="00C16570"/>
    <w:rsid w:val="00C34BC4"/>
    <w:rsid w:val="00C37F07"/>
    <w:rsid w:val="00C74787"/>
    <w:rsid w:val="00CC3108"/>
    <w:rsid w:val="00CE735C"/>
    <w:rsid w:val="00DB0C4F"/>
    <w:rsid w:val="00DD4CE7"/>
    <w:rsid w:val="00DF630C"/>
    <w:rsid w:val="00E3347D"/>
    <w:rsid w:val="00E97320"/>
    <w:rsid w:val="00EA1D69"/>
    <w:rsid w:val="00F065E3"/>
    <w:rsid w:val="00FE5672"/>
    <w:rsid w:val="00FF004C"/>
    <w:rsid w:val="00FF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33C7B5"/>
  <w15:chartTrackingRefBased/>
  <w15:docId w15:val="{92B7D5A6-625D-4437-8F26-CEF8706B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42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D4C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C65A7"/>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C74787"/>
    <w:rPr>
      <w:color w:val="0563C1" w:themeColor="hyperlink"/>
      <w:u w:val="single"/>
    </w:rPr>
  </w:style>
  <w:style w:type="paragraph" w:styleId="NormalWeb">
    <w:name w:val="Normal (Web)"/>
    <w:basedOn w:val="Normal"/>
    <w:uiPriority w:val="99"/>
    <w:unhideWhenUsed/>
    <w:rsid w:val="008824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824CC"/>
    <w:rPr>
      <w:color w:val="605E5C"/>
      <w:shd w:val="clear" w:color="auto" w:fill="E1DFDD"/>
    </w:rPr>
  </w:style>
  <w:style w:type="table" w:styleId="TableGrid">
    <w:name w:val="Table Grid"/>
    <w:basedOn w:val="TableNormal"/>
    <w:uiPriority w:val="39"/>
    <w:rsid w:val="00063BC0"/>
    <w:pPr>
      <w:spacing w:after="0" w:line="240" w:lineRule="auto"/>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D47"/>
  </w:style>
  <w:style w:type="paragraph" w:styleId="Footer">
    <w:name w:val="footer"/>
    <w:basedOn w:val="Normal"/>
    <w:link w:val="FooterChar"/>
    <w:uiPriority w:val="99"/>
    <w:unhideWhenUsed/>
    <w:rsid w:val="002C2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47"/>
  </w:style>
  <w:style w:type="character" w:customStyle="1" w:styleId="Heading1Char">
    <w:name w:val="Heading 1 Char"/>
    <w:basedOn w:val="DefaultParagraphFont"/>
    <w:link w:val="Heading1"/>
    <w:uiPriority w:val="9"/>
    <w:rsid w:val="00342F6F"/>
    <w:rPr>
      <w:rFonts w:ascii="Times New Roman" w:eastAsia="Times New Roman" w:hAnsi="Times New Roman" w:cs="Times New Roman"/>
      <w:b/>
      <w:bCs/>
      <w:kern w:val="36"/>
      <w:sz w:val="48"/>
      <w:szCs w:val="48"/>
    </w:rPr>
  </w:style>
  <w:style w:type="character" w:customStyle="1" w:styleId="epub-date">
    <w:name w:val="epub-date"/>
    <w:basedOn w:val="DefaultParagraphFont"/>
    <w:rsid w:val="00342F6F"/>
  </w:style>
  <w:style w:type="character" w:customStyle="1" w:styleId="Heading4Char">
    <w:name w:val="Heading 4 Char"/>
    <w:basedOn w:val="DefaultParagraphFont"/>
    <w:link w:val="Heading4"/>
    <w:uiPriority w:val="9"/>
    <w:semiHidden/>
    <w:rsid w:val="00DD4CE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8522F"/>
    <w:rPr>
      <w:i/>
      <w:iCs/>
    </w:rPr>
  </w:style>
  <w:style w:type="paragraph" w:styleId="ListParagraph">
    <w:name w:val="List Paragraph"/>
    <w:basedOn w:val="Normal"/>
    <w:uiPriority w:val="34"/>
    <w:qFormat/>
    <w:rsid w:val="00FF3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670751">
      <w:bodyDiv w:val="1"/>
      <w:marLeft w:val="0"/>
      <w:marRight w:val="0"/>
      <w:marTop w:val="0"/>
      <w:marBottom w:val="0"/>
      <w:divBdr>
        <w:top w:val="none" w:sz="0" w:space="0" w:color="auto"/>
        <w:left w:val="none" w:sz="0" w:space="0" w:color="auto"/>
        <w:bottom w:val="none" w:sz="0" w:space="0" w:color="auto"/>
        <w:right w:val="none" w:sz="0" w:space="0" w:color="auto"/>
      </w:divBdr>
    </w:div>
    <w:div w:id="1137920002">
      <w:bodyDiv w:val="1"/>
      <w:marLeft w:val="0"/>
      <w:marRight w:val="0"/>
      <w:marTop w:val="0"/>
      <w:marBottom w:val="0"/>
      <w:divBdr>
        <w:top w:val="none" w:sz="0" w:space="0" w:color="auto"/>
        <w:left w:val="none" w:sz="0" w:space="0" w:color="auto"/>
        <w:bottom w:val="none" w:sz="0" w:space="0" w:color="auto"/>
        <w:right w:val="none" w:sz="0" w:space="0" w:color="auto"/>
      </w:divBdr>
    </w:div>
    <w:div w:id="1332180625">
      <w:bodyDiv w:val="1"/>
      <w:marLeft w:val="0"/>
      <w:marRight w:val="0"/>
      <w:marTop w:val="0"/>
      <w:marBottom w:val="0"/>
      <w:divBdr>
        <w:top w:val="none" w:sz="0" w:space="0" w:color="auto"/>
        <w:left w:val="none" w:sz="0" w:space="0" w:color="auto"/>
        <w:bottom w:val="none" w:sz="0" w:space="0" w:color="auto"/>
        <w:right w:val="none" w:sz="0" w:space="0" w:color="auto"/>
      </w:divBdr>
      <w:divsChild>
        <w:div w:id="362249754">
          <w:marLeft w:val="0"/>
          <w:marRight w:val="0"/>
          <w:marTop w:val="0"/>
          <w:marBottom w:val="0"/>
          <w:divBdr>
            <w:top w:val="none" w:sz="0" w:space="0" w:color="auto"/>
            <w:left w:val="none" w:sz="0" w:space="0" w:color="auto"/>
            <w:bottom w:val="none" w:sz="0" w:space="0" w:color="auto"/>
            <w:right w:val="none" w:sz="0" w:space="0" w:color="auto"/>
          </w:divBdr>
        </w:div>
        <w:div w:id="1578663163">
          <w:marLeft w:val="0"/>
          <w:marRight w:val="0"/>
          <w:marTop w:val="0"/>
          <w:marBottom w:val="0"/>
          <w:divBdr>
            <w:top w:val="none" w:sz="0" w:space="0" w:color="auto"/>
            <w:left w:val="none" w:sz="0" w:space="0" w:color="auto"/>
            <w:bottom w:val="none" w:sz="0" w:space="0" w:color="auto"/>
            <w:right w:val="none" w:sz="0" w:space="0" w:color="auto"/>
          </w:divBdr>
        </w:div>
      </w:divsChild>
    </w:div>
    <w:div w:id="13324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2010.1016/j.heliyon.2021.e07047" TargetMode="External"/><Relationship Id="rId18" Type="http://schemas.openxmlformats.org/officeDocument/2006/relationships/hyperlink" Target="https://doi.org/10.1016/j.marenvres.2019.04.006" TargetMode="External"/><Relationship Id="rId26" Type="http://schemas.openxmlformats.org/officeDocument/2006/relationships/hyperlink" Target="http://dx.doi.org/10.4236/jep.2016.74051" TargetMode="External"/><Relationship Id="rId21" Type="http://schemas.openxmlformats.org/officeDocument/2006/relationships/hyperlink" Target="https://doi.org/10.1016/S0269-8579(05)80034-6"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22271/fish.2022.v10.i4b.2693" TargetMode="External"/><Relationship Id="rId17" Type="http://schemas.openxmlformats.org/officeDocument/2006/relationships/hyperlink" Target="https://doi.org/10.1016/j.chemosphere.2021.130122" TargetMode="External"/><Relationship Id="rId25" Type="http://schemas.openxmlformats.org/officeDocument/2006/relationships/hyperlink" Target="https://doi.org/10.4236/ajac.2021.121102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ecoenv.2021.113013" TargetMode="External"/><Relationship Id="rId20" Type="http://schemas.openxmlformats.org/officeDocument/2006/relationships/hyperlink" Target="https://doi.org/10.1016/S0143-7127(84)90701-4" TargetMode="External"/><Relationship Id="rId29" Type="http://schemas.openxmlformats.org/officeDocument/2006/relationships/hyperlink" Target="https://doi.org/10.1897/03-5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5897/JENE2016.059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emosphere.2020.127569" TargetMode="External"/><Relationship Id="rId23" Type="http://schemas.openxmlformats.org/officeDocument/2006/relationships/hyperlink" Target="https://doi.org/10.1002/j.1554-7531.1993.tb00086.x" TargetMode="External"/><Relationship Id="rId28" Type="http://schemas.openxmlformats.org/officeDocument/2006/relationships/hyperlink" Target="https://doi.org/10.1016/S0166-445X(01)00271-5"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s://doi.org/10.1007/s11270-019-4082-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00128-024-03985-9" TargetMode="External"/><Relationship Id="rId22" Type="http://schemas.openxmlformats.org/officeDocument/2006/relationships/hyperlink" Target="http://doi.org/10.26480/%20pjg.01.2018.12.17" TargetMode="External"/><Relationship Id="rId27" Type="http://schemas.openxmlformats.org/officeDocument/2006/relationships/hyperlink" Target="https://doi.org/10.1111/j.1749-7345.2002.tb00499.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132763768901356E-2"/>
          <c:y val="5.1400554097404488E-2"/>
          <c:w val="0.93573910548630812"/>
          <c:h val="0.8326195683872849"/>
        </c:manualLayout>
      </c:layout>
      <c:barChart>
        <c:barDir val="col"/>
        <c:grouping val="clustered"/>
        <c:varyColors val="0"/>
        <c:ser>
          <c:idx val="0"/>
          <c:order val="0"/>
          <c:tx>
            <c:strRef>
              <c:f>Sheet1!$B$11</c:f>
              <c:strCache>
                <c:ptCount val="1"/>
                <c:pt idx="0">
                  <c:v>pHu</c:v>
                </c:pt>
              </c:strCache>
            </c:strRef>
          </c:tx>
          <c:invertIfNegative val="0"/>
          <c:cat>
            <c:strRef>
              <c:f>Sheet1!$A$12:$A$17</c:f>
              <c:strCache>
                <c:ptCount val="6"/>
                <c:pt idx="0">
                  <c:v>T0</c:v>
                </c:pt>
                <c:pt idx="1">
                  <c:v>T2</c:v>
                </c:pt>
                <c:pt idx="2">
                  <c:v>T6</c:v>
                </c:pt>
                <c:pt idx="3">
                  <c:v>T12</c:v>
                </c:pt>
                <c:pt idx="4">
                  <c:v>T32</c:v>
                </c:pt>
                <c:pt idx="5">
                  <c:v>T64</c:v>
                </c:pt>
              </c:strCache>
            </c:strRef>
          </c:cat>
          <c:val>
            <c:numRef>
              <c:f>Sheet1!$B$12:$B$17</c:f>
              <c:numCache>
                <c:formatCode>General</c:formatCode>
                <c:ptCount val="6"/>
                <c:pt idx="0">
                  <c:v>6.67</c:v>
                </c:pt>
                <c:pt idx="1">
                  <c:v>6.43</c:v>
                </c:pt>
                <c:pt idx="2">
                  <c:v>6.31</c:v>
                </c:pt>
                <c:pt idx="3">
                  <c:v>6.12</c:v>
                </c:pt>
                <c:pt idx="4">
                  <c:v>5.87</c:v>
                </c:pt>
                <c:pt idx="5">
                  <c:v>5.34</c:v>
                </c:pt>
              </c:numCache>
            </c:numRef>
          </c:val>
          <c:extLst>
            <c:ext xmlns:c16="http://schemas.microsoft.com/office/drawing/2014/chart" uri="{C3380CC4-5D6E-409C-BE32-E72D297353CC}">
              <c16:uniqueId val="{00000000-068D-48EA-9B1B-EEB4619CA5D7}"/>
            </c:ext>
          </c:extLst>
        </c:ser>
        <c:ser>
          <c:idx val="1"/>
          <c:order val="1"/>
          <c:tx>
            <c:strRef>
              <c:f>Sheet1!$C$11</c:f>
              <c:strCache>
                <c:ptCount val="1"/>
                <c:pt idx="0">
                  <c:v>pHs</c:v>
                </c:pt>
              </c:strCache>
            </c:strRef>
          </c:tx>
          <c:invertIfNegative val="0"/>
          <c:cat>
            <c:strRef>
              <c:f>Sheet1!$A$12:$A$17</c:f>
              <c:strCache>
                <c:ptCount val="6"/>
                <c:pt idx="0">
                  <c:v>T0</c:v>
                </c:pt>
                <c:pt idx="1">
                  <c:v>T2</c:v>
                </c:pt>
                <c:pt idx="2">
                  <c:v>T6</c:v>
                </c:pt>
                <c:pt idx="3">
                  <c:v>T12</c:v>
                </c:pt>
                <c:pt idx="4">
                  <c:v>T32</c:v>
                </c:pt>
                <c:pt idx="5">
                  <c:v>T64</c:v>
                </c:pt>
              </c:strCache>
            </c:strRef>
          </c:cat>
          <c:val>
            <c:numRef>
              <c:f>Sheet1!$C$12:$C$17</c:f>
              <c:numCache>
                <c:formatCode>General</c:formatCode>
                <c:ptCount val="6"/>
                <c:pt idx="0">
                  <c:v>6.83</c:v>
                </c:pt>
                <c:pt idx="1">
                  <c:v>6.73</c:v>
                </c:pt>
                <c:pt idx="2">
                  <c:v>6.57</c:v>
                </c:pt>
                <c:pt idx="3">
                  <c:v>5.62</c:v>
                </c:pt>
                <c:pt idx="4">
                  <c:v>5.32</c:v>
                </c:pt>
                <c:pt idx="5">
                  <c:v>4.76</c:v>
                </c:pt>
              </c:numCache>
            </c:numRef>
          </c:val>
          <c:extLst>
            <c:ext xmlns:c16="http://schemas.microsoft.com/office/drawing/2014/chart" uri="{C3380CC4-5D6E-409C-BE32-E72D297353CC}">
              <c16:uniqueId val="{00000001-068D-48EA-9B1B-EEB4619CA5D7}"/>
            </c:ext>
          </c:extLst>
        </c:ser>
        <c:dLbls>
          <c:showLegendKey val="0"/>
          <c:showVal val="0"/>
          <c:showCatName val="0"/>
          <c:showSerName val="0"/>
          <c:showPercent val="0"/>
          <c:showBubbleSize val="0"/>
        </c:dLbls>
        <c:gapWidth val="150"/>
        <c:axId val="155175168"/>
        <c:axId val="155176960"/>
      </c:barChart>
      <c:catAx>
        <c:axId val="155175168"/>
        <c:scaling>
          <c:orientation val="minMax"/>
        </c:scaling>
        <c:delete val="0"/>
        <c:axPos val="b"/>
        <c:numFmt formatCode="General" sourceLinked="0"/>
        <c:majorTickMark val="out"/>
        <c:minorTickMark val="none"/>
        <c:tickLblPos val="nextTo"/>
        <c:crossAx val="155176960"/>
        <c:crosses val="autoZero"/>
        <c:auto val="1"/>
        <c:lblAlgn val="ctr"/>
        <c:lblOffset val="100"/>
        <c:noMultiLvlLbl val="0"/>
      </c:catAx>
      <c:valAx>
        <c:axId val="155176960"/>
        <c:scaling>
          <c:orientation val="minMax"/>
        </c:scaling>
        <c:delete val="0"/>
        <c:axPos val="l"/>
        <c:numFmt formatCode="General" sourceLinked="1"/>
        <c:majorTickMark val="out"/>
        <c:minorTickMark val="none"/>
        <c:tickLblPos val="nextTo"/>
        <c:crossAx val="155175168"/>
        <c:crosses val="autoZero"/>
        <c:crossBetween val="between"/>
      </c:valAx>
    </c:plotArea>
    <c:legend>
      <c:legendPos val="r"/>
      <c:layout>
        <c:manualLayout>
          <c:xMode val="edge"/>
          <c:yMode val="edge"/>
          <c:x val="0.89265729435642405"/>
          <c:y val="4.2457713619130973E-3"/>
          <c:w val="7.5853726786176023E-2"/>
          <c:h val="0.1674343832020997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7174103237096E-2"/>
          <c:y val="6.0659813356663747E-2"/>
          <c:w val="0.88985914260717425"/>
          <c:h val="0.8326195683872849"/>
        </c:manualLayout>
      </c:layout>
      <c:barChart>
        <c:barDir val="col"/>
        <c:grouping val="clustered"/>
        <c:varyColors val="0"/>
        <c:ser>
          <c:idx val="0"/>
          <c:order val="0"/>
          <c:tx>
            <c:strRef>
              <c:f>Sheet1!$F$11</c:f>
              <c:strCache>
                <c:ptCount val="1"/>
                <c:pt idx="0">
                  <c:v>Conductivityu (µS/cm)</c:v>
                </c:pt>
              </c:strCache>
            </c:strRef>
          </c:tx>
          <c:invertIfNegative val="0"/>
          <c:cat>
            <c:strRef>
              <c:f>Sheet1!$E$12:$E$17</c:f>
              <c:strCache>
                <c:ptCount val="6"/>
                <c:pt idx="0">
                  <c:v>T0</c:v>
                </c:pt>
                <c:pt idx="1">
                  <c:v>T2</c:v>
                </c:pt>
                <c:pt idx="2">
                  <c:v>T6</c:v>
                </c:pt>
                <c:pt idx="3">
                  <c:v>T12</c:v>
                </c:pt>
                <c:pt idx="4">
                  <c:v>T32</c:v>
                </c:pt>
                <c:pt idx="5">
                  <c:v>T64</c:v>
                </c:pt>
              </c:strCache>
            </c:strRef>
          </c:cat>
          <c:val>
            <c:numRef>
              <c:f>Sheet1!$F$12:$F$17</c:f>
              <c:numCache>
                <c:formatCode>General</c:formatCode>
                <c:ptCount val="6"/>
                <c:pt idx="0">
                  <c:v>267</c:v>
                </c:pt>
                <c:pt idx="1">
                  <c:v>312.10000000000002</c:v>
                </c:pt>
                <c:pt idx="2">
                  <c:v>353.2</c:v>
                </c:pt>
                <c:pt idx="3">
                  <c:v>462.7</c:v>
                </c:pt>
                <c:pt idx="4">
                  <c:v>481.2</c:v>
                </c:pt>
                <c:pt idx="5">
                  <c:v>513.1</c:v>
                </c:pt>
              </c:numCache>
            </c:numRef>
          </c:val>
          <c:extLst>
            <c:ext xmlns:c16="http://schemas.microsoft.com/office/drawing/2014/chart" uri="{C3380CC4-5D6E-409C-BE32-E72D297353CC}">
              <c16:uniqueId val="{00000000-3F0E-4D82-AA54-3A81C6DF0E17}"/>
            </c:ext>
          </c:extLst>
        </c:ser>
        <c:ser>
          <c:idx val="1"/>
          <c:order val="1"/>
          <c:tx>
            <c:strRef>
              <c:f>Sheet1!$G$11</c:f>
              <c:strCache>
                <c:ptCount val="1"/>
                <c:pt idx="0">
                  <c:v>Conductivitys (µS/cm)</c:v>
                </c:pt>
              </c:strCache>
            </c:strRef>
          </c:tx>
          <c:invertIfNegative val="0"/>
          <c:cat>
            <c:strRef>
              <c:f>Sheet1!$E$12:$E$17</c:f>
              <c:strCache>
                <c:ptCount val="6"/>
                <c:pt idx="0">
                  <c:v>T0</c:v>
                </c:pt>
                <c:pt idx="1">
                  <c:v>T2</c:v>
                </c:pt>
                <c:pt idx="2">
                  <c:v>T6</c:v>
                </c:pt>
                <c:pt idx="3">
                  <c:v>T12</c:v>
                </c:pt>
                <c:pt idx="4">
                  <c:v>T32</c:v>
                </c:pt>
                <c:pt idx="5">
                  <c:v>T64</c:v>
                </c:pt>
              </c:strCache>
            </c:strRef>
          </c:cat>
          <c:val>
            <c:numRef>
              <c:f>Sheet1!$G$12:$G$17</c:f>
              <c:numCache>
                <c:formatCode>General</c:formatCode>
                <c:ptCount val="6"/>
                <c:pt idx="0">
                  <c:v>329.2</c:v>
                </c:pt>
                <c:pt idx="1">
                  <c:v>364.2</c:v>
                </c:pt>
                <c:pt idx="2">
                  <c:v>473.3</c:v>
                </c:pt>
                <c:pt idx="3">
                  <c:v>462.5</c:v>
                </c:pt>
                <c:pt idx="4">
                  <c:v>481.02</c:v>
                </c:pt>
                <c:pt idx="5">
                  <c:v>518.1</c:v>
                </c:pt>
              </c:numCache>
            </c:numRef>
          </c:val>
          <c:extLst>
            <c:ext xmlns:c16="http://schemas.microsoft.com/office/drawing/2014/chart" uri="{C3380CC4-5D6E-409C-BE32-E72D297353CC}">
              <c16:uniqueId val="{00000001-3F0E-4D82-AA54-3A81C6DF0E17}"/>
            </c:ext>
          </c:extLst>
        </c:ser>
        <c:dLbls>
          <c:showLegendKey val="0"/>
          <c:showVal val="0"/>
          <c:showCatName val="0"/>
          <c:showSerName val="0"/>
          <c:showPercent val="0"/>
          <c:showBubbleSize val="0"/>
        </c:dLbls>
        <c:gapWidth val="150"/>
        <c:axId val="155145344"/>
        <c:axId val="155146880"/>
      </c:barChart>
      <c:catAx>
        <c:axId val="155145344"/>
        <c:scaling>
          <c:orientation val="minMax"/>
        </c:scaling>
        <c:delete val="0"/>
        <c:axPos val="b"/>
        <c:numFmt formatCode="General" sourceLinked="0"/>
        <c:majorTickMark val="out"/>
        <c:minorTickMark val="none"/>
        <c:tickLblPos val="nextTo"/>
        <c:crossAx val="155146880"/>
        <c:crosses val="autoZero"/>
        <c:auto val="1"/>
        <c:lblAlgn val="ctr"/>
        <c:lblOffset val="100"/>
        <c:noMultiLvlLbl val="0"/>
      </c:catAx>
      <c:valAx>
        <c:axId val="155146880"/>
        <c:scaling>
          <c:orientation val="minMax"/>
        </c:scaling>
        <c:delete val="0"/>
        <c:axPos val="l"/>
        <c:numFmt formatCode="General" sourceLinked="1"/>
        <c:majorTickMark val="out"/>
        <c:minorTickMark val="none"/>
        <c:tickLblPos val="nextTo"/>
        <c:crossAx val="155145344"/>
        <c:crosses val="autoZero"/>
        <c:crossBetween val="between"/>
      </c:valAx>
    </c:plotArea>
    <c:legend>
      <c:legendPos val="r"/>
      <c:layout>
        <c:manualLayout>
          <c:xMode val="edge"/>
          <c:yMode val="edge"/>
          <c:x val="0.30370866141732278"/>
          <c:y val="4.2457713619130973E-3"/>
          <c:w val="0.69073578302712157"/>
          <c:h val="8.4101049868766389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87E-2"/>
          <c:y val="5.1400554097404488E-2"/>
          <c:w val="0.93351268591426073"/>
          <c:h val="0.8326195683872849"/>
        </c:manualLayout>
      </c:layout>
      <c:barChart>
        <c:barDir val="col"/>
        <c:grouping val="clustered"/>
        <c:varyColors val="0"/>
        <c:ser>
          <c:idx val="0"/>
          <c:order val="0"/>
          <c:tx>
            <c:strRef>
              <c:f>Sheet1!$J$11</c:f>
              <c:strCache>
                <c:ptCount val="1"/>
                <c:pt idx="0">
                  <c:v>DOu (mg/L)</c:v>
                </c:pt>
              </c:strCache>
            </c:strRef>
          </c:tx>
          <c:invertIfNegative val="0"/>
          <c:cat>
            <c:strRef>
              <c:f>Sheet1!$I$12:$I$17</c:f>
              <c:strCache>
                <c:ptCount val="6"/>
                <c:pt idx="0">
                  <c:v>T0</c:v>
                </c:pt>
                <c:pt idx="1">
                  <c:v>T2</c:v>
                </c:pt>
                <c:pt idx="2">
                  <c:v>T6</c:v>
                </c:pt>
                <c:pt idx="3">
                  <c:v>T12</c:v>
                </c:pt>
                <c:pt idx="4">
                  <c:v>T32</c:v>
                </c:pt>
                <c:pt idx="5">
                  <c:v>T64</c:v>
                </c:pt>
              </c:strCache>
            </c:strRef>
          </c:cat>
          <c:val>
            <c:numRef>
              <c:f>Sheet1!$J$12:$J$17</c:f>
              <c:numCache>
                <c:formatCode>General</c:formatCode>
                <c:ptCount val="6"/>
                <c:pt idx="0">
                  <c:v>6.23</c:v>
                </c:pt>
                <c:pt idx="1">
                  <c:v>5.89</c:v>
                </c:pt>
                <c:pt idx="2">
                  <c:v>4.72</c:v>
                </c:pt>
                <c:pt idx="3">
                  <c:v>3.8</c:v>
                </c:pt>
                <c:pt idx="4">
                  <c:v>3.5</c:v>
                </c:pt>
                <c:pt idx="5">
                  <c:v>2.72</c:v>
                </c:pt>
              </c:numCache>
            </c:numRef>
          </c:val>
          <c:extLst>
            <c:ext xmlns:c16="http://schemas.microsoft.com/office/drawing/2014/chart" uri="{C3380CC4-5D6E-409C-BE32-E72D297353CC}">
              <c16:uniqueId val="{00000000-3BDE-41DA-A790-52A5D752C518}"/>
            </c:ext>
          </c:extLst>
        </c:ser>
        <c:ser>
          <c:idx val="1"/>
          <c:order val="1"/>
          <c:tx>
            <c:strRef>
              <c:f>Sheet1!$K$11</c:f>
              <c:strCache>
                <c:ptCount val="1"/>
                <c:pt idx="0">
                  <c:v>DOs (mg/L)</c:v>
                </c:pt>
              </c:strCache>
            </c:strRef>
          </c:tx>
          <c:invertIfNegative val="0"/>
          <c:cat>
            <c:strRef>
              <c:f>Sheet1!$I$12:$I$17</c:f>
              <c:strCache>
                <c:ptCount val="6"/>
                <c:pt idx="0">
                  <c:v>T0</c:v>
                </c:pt>
                <c:pt idx="1">
                  <c:v>T2</c:v>
                </c:pt>
                <c:pt idx="2">
                  <c:v>T6</c:v>
                </c:pt>
                <c:pt idx="3">
                  <c:v>T12</c:v>
                </c:pt>
                <c:pt idx="4">
                  <c:v>T32</c:v>
                </c:pt>
                <c:pt idx="5">
                  <c:v>T64</c:v>
                </c:pt>
              </c:strCache>
            </c:strRef>
          </c:cat>
          <c:val>
            <c:numRef>
              <c:f>Sheet1!$K$12:$K$17</c:f>
              <c:numCache>
                <c:formatCode>General</c:formatCode>
                <c:ptCount val="6"/>
                <c:pt idx="0">
                  <c:v>6.45</c:v>
                </c:pt>
                <c:pt idx="1">
                  <c:v>6.02</c:v>
                </c:pt>
                <c:pt idx="2">
                  <c:v>5.32</c:v>
                </c:pt>
                <c:pt idx="3">
                  <c:v>4.26</c:v>
                </c:pt>
                <c:pt idx="4">
                  <c:v>3.12</c:v>
                </c:pt>
                <c:pt idx="5">
                  <c:v>2.69</c:v>
                </c:pt>
              </c:numCache>
            </c:numRef>
          </c:val>
          <c:extLst>
            <c:ext xmlns:c16="http://schemas.microsoft.com/office/drawing/2014/chart" uri="{C3380CC4-5D6E-409C-BE32-E72D297353CC}">
              <c16:uniqueId val="{00000001-3BDE-41DA-A790-52A5D752C518}"/>
            </c:ext>
          </c:extLst>
        </c:ser>
        <c:dLbls>
          <c:showLegendKey val="0"/>
          <c:showVal val="0"/>
          <c:showCatName val="0"/>
          <c:showSerName val="0"/>
          <c:showPercent val="0"/>
          <c:showBubbleSize val="0"/>
        </c:dLbls>
        <c:gapWidth val="150"/>
        <c:axId val="155594752"/>
        <c:axId val="155596288"/>
      </c:barChart>
      <c:catAx>
        <c:axId val="155594752"/>
        <c:scaling>
          <c:orientation val="minMax"/>
        </c:scaling>
        <c:delete val="0"/>
        <c:axPos val="b"/>
        <c:numFmt formatCode="General" sourceLinked="0"/>
        <c:majorTickMark val="out"/>
        <c:minorTickMark val="none"/>
        <c:tickLblPos val="nextTo"/>
        <c:crossAx val="155596288"/>
        <c:crosses val="autoZero"/>
        <c:auto val="1"/>
        <c:lblAlgn val="ctr"/>
        <c:lblOffset val="100"/>
        <c:noMultiLvlLbl val="0"/>
      </c:catAx>
      <c:valAx>
        <c:axId val="155596288"/>
        <c:scaling>
          <c:orientation val="minMax"/>
        </c:scaling>
        <c:delete val="0"/>
        <c:axPos val="l"/>
        <c:numFmt formatCode="General" sourceLinked="1"/>
        <c:majorTickMark val="out"/>
        <c:minorTickMark val="none"/>
        <c:tickLblPos val="nextTo"/>
        <c:crossAx val="155594752"/>
        <c:crosses val="autoZero"/>
        <c:crossBetween val="between"/>
      </c:valAx>
    </c:plotArea>
    <c:legend>
      <c:legendPos val="r"/>
      <c:layout>
        <c:manualLayout>
          <c:xMode val="edge"/>
          <c:yMode val="edge"/>
          <c:x val="0.82823731408573931"/>
          <c:y val="4.2457713619130973E-3"/>
          <c:w val="0.17176268591426072"/>
          <c:h val="0.1674343832020997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7174103237096E-2"/>
          <c:y val="5.1400554097404488E-2"/>
          <c:w val="0.88631802274715665"/>
          <c:h val="0.8326195683872849"/>
        </c:manualLayout>
      </c:layout>
      <c:barChart>
        <c:barDir val="col"/>
        <c:grouping val="clustered"/>
        <c:varyColors val="0"/>
        <c:ser>
          <c:idx val="0"/>
          <c:order val="0"/>
          <c:tx>
            <c:strRef>
              <c:f>Sheet1!$B$19</c:f>
              <c:strCache>
                <c:ptCount val="1"/>
                <c:pt idx="0">
                  <c:v>TDSu (mg/L)</c:v>
                </c:pt>
              </c:strCache>
            </c:strRef>
          </c:tx>
          <c:invertIfNegative val="0"/>
          <c:cat>
            <c:strRef>
              <c:f>Sheet1!$A$20:$A$25</c:f>
              <c:strCache>
                <c:ptCount val="6"/>
                <c:pt idx="0">
                  <c:v>T0</c:v>
                </c:pt>
                <c:pt idx="1">
                  <c:v>T2</c:v>
                </c:pt>
                <c:pt idx="2">
                  <c:v>T6</c:v>
                </c:pt>
                <c:pt idx="3">
                  <c:v>T12</c:v>
                </c:pt>
                <c:pt idx="4">
                  <c:v>T32</c:v>
                </c:pt>
                <c:pt idx="5">
                  <c:v>T64</c:v>
                </c:pt>
              </c:strCache>
            </c:strRef>
          </c:cat>
          <c:val>
            <c:numRef>
              <c:f>Sheet1!$B$20:$B$25</c:f>
              <c:numCache>
                <c:formatCode>General</c:formatCode>
                <c:ptCount val="6"/>
                <c:pt idx="0">
                  <c:v>148.69999999999999</c:v>
                </c:pt>
                <c:pt idx="1">
                  <c:v>156.4</c:v>
                </c:pt>
                <c:pt idx="2">
                  <c:v>167.5</c:v>
                </c:pt>
                <c:pt idx="3">
                  <c:v>171.3</c:v>
                </c:pt>
                <c:pt idx="4">
                  <c:v>183.97</c:v>
                </c:pt>
                <c:pt idx="5">
                  <c:v>193</c:v>
                </c:pt>
              </c:numCache>
            </c:numRef>
          </c:val>
          <c:extLst>
            <c:ext xmlns:c16="http://schemas.microsoft.com/office/drawing/2014/chart" uri="{C3380CC4-5D6E-409C-BE32-E72D297353CC}">
              <c16:uniqueId val="{00000000-1406-41F3-8E1B-6396FC60004A}"/>
            </c:ext>
          </c:extLst>
        </c:ser>
        <c:ser>
          <c:idx val="1"/>
          <c:order val="1"/>
          <c:tx>
            <c:strRef>
              <c:f>Sheet1!$C$19</c:f>
              <c:strCache>
                <c:ptCount val="1"/>
                <c:pt idx="0">
                  <c:v>TDSs (mg/L)</c:v>
                </c:pt>
              </c:strCache>
            </c:strRef>
          </c:tx>
          <c:invertIfNegative val="0"/>
          <c:cat>
            <c:strRef>
              <c:f>Sheet1!$A$20:$A$25</c:f>
              <c:strCache>
                <c:ptCount val="6"/>
                <c:pt idx="0">
                  <c:v>T0</c:v>
                </c:pt>
                <c:pt idx="1">
                  <c:v>T2</c:v>
                </c:pt>
                <c:pt idx="2">
                  <c:v>T6</c:v>
                </c:pt>
                <c:pt idx="3">
                  <c:v>T12</c:v>
                </c:pt>
                <c:pt idx="4">
                  <c:v>T32</c:v>
                </c:pt>
                <c:pt idx="5">
                  <c:v>T64</c:v>
                </c:pt>
              </c:strCache>
            </c:strRef>
          </c:cat>
          <c:val>
            <c:numRef>
              <c:f>Sheet1!$C$20:$C$25</c:f>
              <c:numCache>
                <c:formatCode>General</c:formatCode>
                <c:ptCount val="6"/>
                <c:pt idx="0">
                  <c:v>146.5</c:v>
                </c:pt>
                <c:pt idx="1">
                  <c:v>162.1</c:v>
                </c:pt>
                <c:pt idx="2">
                  <c:v>171.2</c:v>
                </c:pt>
                <c:pt idx="3">
                  <c:v>194.1</c:v>
                </c:pt>
                <c:pt idx="4">
                  <c:v>203.6</c:v>
                </c:pt>
                <c:pt idx="5">
                  <c:v>216.1</c:v>
                </c:pt>
              </c:numCache>
            </c:numRef>
          </c:val>
          <c:extLst>
            <c:ext xmlns:c16="http://schemas.microsoft.com/office/drawing/2014/chart" uri="{C3380CC4-5D6E-409C-BE32-E72D297353CC}">
              <c16:uniqueId val="{00000001-1406-41F3-8E1B-6396FC60004A}"/>
            </c:ext>
          </c:extLst>
        </c:ser>
        <c:dLbls>
          <c:showLegendKey val="0"/>
          <c:showVal val="0"/>
          <c:showCatName val="0"/>
          <c:showSerName val="0"/>
          <c:showPercent val="0"/>
          <c:showBubbleSize val="0"/>
        </c:dLbls>
        <c:gapWidth val="150"/>
        <c:axId val="155753088"/>
        <c:axId val="155763072"/>
      </c:barChart>
      <c:catAx>
        <c:axId val="155753088"/>
        <c:scaling>
          <c:orientation val="minMax"/>
        </c:scaling>
        <c:delete val="0"/>
        <c:axPos val="b"/>
        <c:numFmt formatCode="General" sourceLinked="0"/>
        <c:majorTickMark val="out"/>
        <c:minorTickMark val="none"/>
        <c:tickLblPos val="nextTo"/>
        <c:crossAx val="155763072"/>
        <c:crosses val="autoZero"/>
        <c:auto val="1"/>
        <c:lblAlgn val="ctr"/>
        <c:lblOffset val="100"/>
        <c:noMultiLvlLbl val="0"/>
      </c:catAx>
      <c:valAx>
        <c:axId val="155763072"/>
        <c:scaling>
          <c:orientation val="minMax"/>
        </c:scaling>
        <c:delete val="0"/>
        <c:axPos val="l"/>
        <c:numFmt formatCode="General" sourceLinked="1"/>
        <c:majorTickMark val="out"/>
        <c:minorTickMark val="none"/>
        <c:tickLblPos val="nextTo"/>
        <c:crossAx val="155753088"/>
        <c:crosses val="autoZero"/>
        <c:crossBetween val="between"/>
      </c:valAx>
    </c:plotArea>
    <c:legend>
      <c:legendPos val="r"/>
      <c:layout>
        <c:manualLayout>
          <c:xMode val="edge"/>
          <c:yMode val="edge"/>
          <c:x val="0.47238976377952757"/>
          <c:y val="1.3505030621172356E-2"/>
          <c:w val="0.52761023622047243"/>
          <c:h val="9.3360309128025648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085739282589675E-2"/>
          <c:y val="5.1400554097404488E-2"/>
          <c:w val="0.89283136482939618"/>
          <c:h val="0.8326195683872849"/>
        </c:manualLayout>
      </c:layout>
      <c:barChart>
        <c:barDir val="col"/>
        <c:grouping val="clustered"/>
        <c:varyColors val="0"/>
        <c:ser>
          <c:idx val="0"/>
          <c:order val="0"/>
          <c:tx>
            <c:strRef>
              <c:f>Sheet1!$F$19</c:f>
              <c:strCache>
                <c:ptCount val="1"/>
                <c:pt idx="0">
                  <c:v>TemperatureU </c:v>
                </c:pt>
              </c:strCache>
            </c:strRef>
          </c:tx>
          <c:invertIfNegative val="0"/>
          <c:cat>
            <c:strRef>
              <c:f>Sheet1!$E$20:$E$25</c:f>
              <c:strCache>
                <c:ptCount val="6"/>
                <c:pt idx="0">
                  <c:v>T0</c:v>
                </c:pt>
                <c:pt idx="1">
                  <c:v>T2</c:v>
                </c:pt>
                <c:pt idx="2">
                  <c:v>T6</c:v>
                </c:pt>
                <c:pt idx="3">
                  <c:v>T12</c:v>
                </c:pt>
                <c:pt idx="4">
                  <c:v>T32</c:v>
                </c:pt>
                <c:pt idx="5">
                  <c:v>T64</c:v>
                </c:pt>
              </c:strCache>
            </c:strRef>
          </c:cat>
          <c:val>
            <c:numRef>
              <c:f>Sheet1!$F$20:$F$25</c:f>
              <c:numCache>
                <c:formatCode>General</c:formatCode>
                <c:ptCount val="6"/>
                <c:pt idx="0">
                  <c:v>26.32</c:v>
                </c:pt>
                <c:pt idx="1">
                  <c:v>26.51</c:v>
                </c:pt>
                <c:pt idx="2">
                  <c:v>26.63</c:v>
                </c:pt>
                <c:pt idx="3">
                  <c:v>26.82</c:v>
                </c:pt>
                <c:pt idx="4">
                  <c:v>27.6</c:v>
                </c:pt>
                <c:pt idx="5">
                  <c:v>28.7</c:v>
                </c:pt>
              </c:numCache>
            </c:numRef>
          </c:val>
          <c:extLst>
            <c:ext xmlns:c16="http://schemas.microsoft.com/office/drawing/2014/chart" uri="{C3380CC4-5D6E-409C-BE32-E72D297353CC}">
              <c16:uniqueId val="{00000000-8AD4-4BBF-ADB2-677DCB623F2E}"/>
            </c:ext>
          </c:extLst>
        </c:ser>
        <c:ser>
          <c:idx val="1"/>
          <c:order val="1"/>
          <c:tx>
            <c:strRef>
              <c:f>Sheet1!$G$19</c:f>
              <c:strCache>
                <c:ptCount val="1"/>
                <c:pt idx="0">
                  <c:v>TemperatureS</c:v>
                </c:pt>
              </c:strCache>
            </c:strRef>
          </c:tx>
          <c:invertIfNegative val="0"/>
          <c:cat>
            <c:strRef>
              <c:f>Sheet1!$E$20:$E$25</c:f>
              <c:strCache>
                <c:ptCount val="6"/>
                <c:pt idx="0">
                  <c:v>T0</c:v>
                </c:pt>
                <c:pt idx="1">
                  <c:v>T2</c:v>
                </c:pt>
                <c:pt idx="2">
                  <c:v>T6</c:v>
                </c:pt>
                <c:pt idx="3">
                  <c:v>T12</c:v>
                </c:pt>
                <c:pt idx="4">
                  <c:v>T32</c:v>
                </c:pt>
                <c:pt idx="5">
                  <c:v>T64</c:v>
                </c:pt>
              </c:strCache>
            </c:strRef>
          </c:cat>
          <c:val>
            <c:numRef>
              <c:f>Sheet1!$G$20:$G$25</c:f>
              <c:numCache>
                <c:formatCode>General</c:formatCode>
                <c:ptCount val="6"/>
                <c:pt idx="0">
                  <c:v>26.35</c:v>
                </c:pt>
                <c:pt idx="1">
                  <c:v>26.22</c:v>
                </c:pt>
                <c:pt idx="2">
                  <c:v>26.6</c:v>
                </c:pt>
                <c:pt idx="3">
                  <c:v>27.53</c:v>
                </c:pt>
                <c:pt idx="4">
                  <c:v>27.75</c:v>
                </c:pt>
                <c:pt idx="5">
                  <c:v>28.32</c:v>
                </c:pt>
              </c:numCache>
            </c:numRef>
          </c:val>
          <c:extLst>
            <c:ext xmlns:c16="http://schemas.microsoft.com/office/drawing/2014/chart" uri="{C3380CC4-5D6E-409C-BE32-E72D297353CC}">
              <c16:uniqueId val="{00000001-8AD4-4BBF-ADB2-677DCB623F2E}"/>
            </c:ext>
          </c:extLst>
        </c:ser>
        <c:dLbls>
          <c:showLegendKey val="0"/>
          <c:showVal val="0"/>
          <c:showCatName val="0"/>
          <c:showSerName val="0"/>
          <c:showPercent val="0"/>
          <c:showBubbleSize val="0"/>
        </c:dLbls>
        <c:gapWidth val="150"/>
        <c:axId val="155559040"/>
        <c:axId val="155560576"/>
      </c:barChart>
      <c:catAx>
        <c:axId val="155559040"/>
        <c:scaling>
          <c:orientation val="minMax"/>
        </c:scaling>
        <c:delete val="0"/>
        <c:axPos val="b"/>
        <c:numFmt formatCode="General" sourceLinked="0"/>
        <c:majorTickMark val="out"/>
        <c:minorTickMark val="none"/>
        <c:tickLblPos val="nextTo"/>
        <c:crossAx val="155560576"/>
        <c:crosses val="autoZero"/>
        <c:auto val="1"/>
        <c:lblAlgn val="ctr"/>
        <c:lblOffset val="100"/>
        <c:noMultiLvlLbl val="0"/>
      </c:catAx>
      <c:valAx>
        <c:axId val="155560576"/>
        <c:scaling>
          <c:orientation val="minMax"/>
        </c:scaling>
        <c:delete val="0"/>
        <c:axPos val="l"/>
        <c:numFmt formatCode="General" sourceLinked="1"/>
        <c:majorTickMark val="out"/>
        <c:minorTickMark val="none"/>
        <c:tickLblPos val="nextTo"/>
        <c:crossAx val="155559040"/>
        <c:crosses val="autoZero"/>
        <c:crossBetween val="between"/>
      </c:valAx>
    </c:plotArea>
    <c:legend>
      <c:legendPos val="r"/>
      <c:layout>
        <c:manualLayout>
          <c:xMode val="edge"/>
          <c:yMode val="edge"/>
          <c:x val="0.4470282152230971"/>
          <c:y val="1.3505030621172356E-2"/>
          <c:w val="0.53630511811023618"/>
          <c:h val="0.1118788276465441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776</TotalTime>
  <Pages>13</Pages>
  <Words>4383</Words>
  <Characters>24985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1084</cp:lastModifiedBy>
  <cp:revision>67</cp:revision>
  <dcterms:created xsi:type="dcterms:W3CDTF">2025-02-25T14:46:00Z</dcterms:created>
  <dcterms:modified xsi:type="dcterms:W3CDTF">2025-03-10T11:19:00Z</dcterms:modified>
</cp:coreProperties>
</file>