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5768F" w14:textId="77777777" w:rsidR="001E62AE" w:rsidRPr="001E62AE" w:rsidRDefault="001E62AE" w:rsidP="001E62AE">
      <w:pPr>
        <w:autoSpaceDE w:val="0"/>
        <w:autoSpaceDN w:val="0"/>
        <w:adjustRightInd w:val="0"/>
        <w:spacing w:after="0" w:line="480" w:lineRule="auto"/>
        <w:jc w:val="both"/>
        <w:rPr>
          <w:rFonts w:ascii="Times New Roman" w:hAnsi="Times New Roman" w:cs="Times New Roman"/>
          <w:b/>
          <w:bCs/>
          <w:i/>
          <w:iCs/>
          <w:sz w:val="24"/>
          <w:szCs w:val="24"/>
          <w:u w:val="single"/>
          <w:lang w:val="en-US"/>
        </w:rPr>
      </w:pPr>
      <w:r w:rsidRPr="001E62AE">
        <w:rPr>
          <w:rFonts w:ascii="Times New Roman" w:hAnsi="Times New Roman" w:cs="Times New Roman"/>
          <w:b/>
          <w:bCs/>
          <w:i/>
          <w:iCs/>
          <w:sz w:val="24"/>
          <w:szCs w:val="24"/>
          <w:u w:val="single"/>
          <w:lang w:val="en-US"/>
        </w:rPr>
        <w:t>Original Research Article</w:t>
      </w:r>
    </w:p>
    <w:p w14:paraId="5CA5B368" w14:textId="77777777" w:rsidR="001E62AE" w:rsidRDefault="001E62AE" w:rsidP="00446E3E">
      <w:pPr>
        <w:autoSpaceDE w:val="0"/>
        <w:autoSpaceDN w:val="0"/>
        <w:adjustRightInd w:val="0"/>
        <w:spacing w:after="0" w:line="480" w:lineRule="auto"/>
        <w:jc w:val="both"/>
        <w:rPr>
          <w:rFonts w:ascii="Times New Roman" w:hAnsi="Times New Roman" w:cs="Times New Roman"/>
          <w:b/>
          <w:sz w:val="24"/>
          <w:szCs w:val="24"/>
        </w:rPr>
      </w:pPr>
    </w:p>
    <w:p w14:paraId="28A8EE6D" w14:textId="658C910E" w:rsidR="00446E3E" w:rsidRDefault="00446E3E" w:rsidP="00446E3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Experience of </w:t>
      </w:r>
      <w:r w:rsidRPr="000E705A">
        <w:rPr>
          <w:rFonts w:ascii="Times New Roman" w:hAnsi="Times New Roman" w:cs="Times New Roman"/>
          <w:b/>
          <w:sz w:val="24"/>
          <w:szCs w:val="24"/>
        </w:rPr>
        <w:t>Percutaneous endoscopic gastrostomy</w:t>
      </w:r>
    </w:p>
    <w:p w14:paraId="60E408CF" w14:textId="77777777" w:rsidR="001E62AE" w:rsidRDefault="001E62AE" w:rsidP="00446E3E">
      <w:pPr>
        <w:autoSpaceDE w:val="0"/>
        <w:autoSpaceDN w:val="0"/>
        <w:adjustRightInd w:val="0"/>
        <w:spacing w:after="0" w:line="480" w:lineRule="auto"/>
        <w:jc w:val="both"/>
        <w:rPr>
          <w:rFonts w:ascii="Times New Roman" w:hAnsi="Times New Roman" w:cs="Times New Roman"/>
          <w:b/>
          <w:sz w:val="24"/>
          <w:szCs w:val="24"/>
        </w:rPr>
      </w:pPr>
    </w:p>
    <w:p w14:paraId="6E699E72" w14:textId="7548163C" w:rsidR="001E62AE" w:rsidRPr="001E62AE" w:rsidRDefault="001E62AE" w:rsidP="001E62AE">
      <w:pPr>
        <w:autoSpaceDE w:val="0"/>
        <w:autoSpaceDN w:val="0"/>
        <w:adjustRightInd w:val="0"/>
        <w:spacing w:after="0" w:line="480" w:lineRule="auto"/>
        <w:rPr>
          <w:rFonts w:ascii="Times New Roman" w:hAnsi="Times New Roman" w:cs="Times New Roman"/>
          <w:sz w:val="24"/>
          <w:szCs w:val="24"/>
        </w:rPr>
      </w:pPr>
      <w:bookmarkStart w:id="0" w:name="_GoBack"/>
      <w:bookmarkEnd w:id="0"/>
    </w:p>
    <w:p w14:paraId="5DBDE591" w14:textId="13D4EB94" w:rsidR="00446E3E" w:rsidRDefault="0062119A" w:rsidP="00446E3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591CD6E6" w14:textId="77777777"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r w:rsidRPr="0020724B">
        <w:rPr>
          <w:rFonts w:ascii="Times New Roman" w:hAnsi="Times New Roman" w:cs="Times New Roman"/>
          <w:b/>
          <w:bCs/>
          <w:sz w:val="24"/>
          <w:szCs w:val="24"/>
        </w:rPr>
        <w:t xml:space="preserve">Background and Aims: </w:t>
      </w:r>
      <w:r w:rsidRPr="0020724B">
        <w:rPr>
          <w:rFonts w:ascii="Times New Roman" w:hAnsi="Times New Roman" w:cs="Times New Roman"/>
          <w:sz w:val="24"/>
          <w:szCs w:val="24"/>
        </w:rPr>
        <w:t xml:space="preserve">Enteral nutrition is important for the functions of the gastrointestinal mucosa, intestinal immunity and the maintenance of flora. </w:t>
      </w:r>
      <w:r w:rsidRPr="0020724B">
        <w:rPr>
          <w:rStyle w:val="A0"/>
          <w:rFonts w:ascii="Times New Roman" w:hAnsi="Times New Roman" w:cs="Times New Roman"/>
          <w:sz w:val="24"/>
          <w:szCs w:val="24"/>
        </w:rPr>
        <w:t>Percutaneous endoscopic gastrostomy (PEG) is a preferred method in patients with an active gastrointestinal tract who require long-term enteral nutrition.</w:t>
      </w:r>
      <w:r w:rsidRPr="0020724B">
        <w:rPr>
          <w:rFonts w:ascii="Times New Roman" w:hAnsi="Times New Roman" w:cs="Times New Roman"/>
          <w:sz w:val="24"/>
          <w:szCs w:val="24"/>
        </w:rPr>
        <w:t xml:space="preserve"> In this retrospective study, we aimed to examine patients receiving percutaneous endoscopic gastrostomy, and discuss indications and early and late complications with reports in the literature. </w:t>
      </w:r>
    </w:p>
    <w:p w14:paraId="426D0C9F" w14:textId="77777777" w:rsidR="00446E3E" w:rsidRPr="0020724B" w:rsidRDefault="00446E3E" w:rsidP="00446E3E">
      <w:pPr>
        <w:pStyle w:val="Default"/>
        <w:spacing w:line="480" w:lineRule="auto"/>
        <w:jc w:val="both"/>
        <w:rPr>
          <w:rFonts w:ascii="Times New Roman" w:hAnsi="Times New Roman" w:cs="Times New Roman"/>
        </w:rPr>
      </w:pPr>
      <w:r w:rsidRPr="0020724B">
        <w:rPr>
          <w:rFonts w:ascii="Times New Roman" w:hAnsi="Times New Roman" w:cs="Times New Roman"/>
          <w:b/>
          <w:bCs/>
        </w:rPr>
        <w:t>Materials and Method:</w:t>
      </w:r>
      <w:r>
        <w:rPr>
          <w:rFonts w:ascii="Times New Roman" w:hAnsi="Times New Roman" w:cs="Times New Roman"/>
          <w:b/>
          <w:bCs/>
        </w:rPr>
        <w:t xml:space="preserve"> </w:t>
      </w:r>
      <w:r w:rsidRPr="0020724B">
        <w:rPr>
          <w:rFonts w:ascii="Times New Roman" w:hAnsi="Times New Roman" w:cs="Times New Roman"/>
        </w:rPr>
        <w:t xml:space="preserve">Patients undergoing PEG between </w:t>
      </w:r>
      <w:r>
        <w:rPr>
          <w:rFonts w:ascii="Times New Roman" w:hAnsi="Times New Roman" w:cs="Times New Roman"/>
        </w:rPr>
        <w:t xml:space="preserve">march </w:t>
      </w:r>
      <w:r w:rsidRPr="0020724B">
        <w:rPr>
          <w:rFonts w:ascii="Times New Roman" w:hAnsi="Times New Roman" w:cs="Times New Roman"/>
        </w:rPr>
        <w:t xml:space="preserve">2022 and  </w:t>
      </w:r>
      <w:r>
        <w:rPr>
          <w:rFonts w:ascii="Times New Roman" w:hAnsi="Times New Roman" w:cs="Times New Roman"/>
        </w:rPr>
        <w:t xml:space="preserve">march </w:t>
      </w:r>
      <w:r w:rsidRPr="0020724B">
        <w:rPr>
          <w:rFonts w:ascii="Times New Roman" w:hAnsi="Times New Roman" w:cs="Times New Roman"/>
        </w:rPr>
        <w:t xml:space="preserve">2023 were retrospectively examined. Ages, genders, main diagnoses, PEG-related complications and one-month mortality rates of the patients were recorded.  </w:t>
      </w:r>
    </w:p>
    <w:p w14:paraId="6C8A0C25" w14:textId="77777777"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r w:rsidRPr="0020724B">
        <w:rPr>
          <w:rFonts w:ascii="Times New Roman" w:hAnsi="Times New Roman" w:cs="Times New Roman"/>
          <w:b/>
          <w:bCs/>
          <w:sz w:val="24"/>
          <w:szCs w:val="24"/>
        </w:rPr>
        <w:t xml:space="preserve">Results: </w:t>
      </w:r>
      <w:r w:rsidRPr="0020724B">
        <w:rPr>
          <w:rFonts w:ascii="Times New Roman" w:hAnsi="Times New Roman" w:cs="Times New Roman"/>
          <w:sz w:val="24"/>
          <w:szCs w:val="24"/>
        </w:rPr>
        <w:t xml:space="preserve">Percutaneous endoscopic gastrostomy tubes were placed in 29 patients. Of the patients who </w:t>
      </w:r>
      <w:r w:rsidRPr="0020724B">
        <w:rPr>
          <w:rFonts w:ascii="Times New Roman" w:hAnsi="Times New Roman" w:cs="Times New Roman"/>
          <w:color w:val="000000"/>
          <w:sz w:val="24"/>
          <w:szCs w:val="24"/>
        </w:rPr>
        <w:t>included in the study,</w:t>
      </w:r>
      <w:r w:rsidRPr="0020724B">
        <w:rPr>
          <w:rFonts w:ascii="Times New Roman" w:hAnsi="Times New Roman" w:cs="Times New Roman"/>
          <w:sz w:val="24"/>
          <w:szCs w:val="24"/>
        </w:rPr>
        <w:t xml:space="preserve"> 20 (68%) were female and 9 (32%) were male. </w:t>
      </w:r>
      <w:r w:rsidRPr="0020724B">
        <w:rPr>
          <w:rFonts w:ascii="Times New Roman" w:hAnsi="Times New Roman" w:cs="Times New Roman"/>
          <w:color w:val="000000"/>
          <w:sz w:val="24"/>
          <w:szCs w:val="24"/>
        </w:rPr>
        <w:t xml:space="preserve">The mean age of the patients was </w:t>
      </w:r>
      <w:r w:rsidRPr="0020724B">
        <w:rPr>
          <w:rFonts w:ascii="Times New Roman" w:hAnsi="Times New Roman" w:cs="Times New Roman"/>
          <w:sz w:val="24"/>
          <w:szCs w:val="24"/>
        </w:rPr>
        <w:t xml:space="preserve">85.2 (30-95) years. The most common indication was Alzeimer, dementia, Parkinson's diseases. Two patients (6.89%) experienced procedure associated complications during hospitalization. One patient experienced periostomal infection and one bled from the procedure site. The PEG tube of the patient with periostomal infection was withdrawn. Two weeks later, the patient was re-inserted a PEG tube. In the patient with bleeding from the edge of the PEG tube, the PEG tube was not removed because the bleeding stopped spontaneously after approximately 12 hours of follow-up. Two patients (6.89%) were </w:t>
      </w:r>
      <w:r w:rsidRPr="0020724B">
        <w:rPr>
          <w:rFonts w:ascii="Times New Roman" w:hAnsi="Times New Roman" w:cs="Times New Roman"/>
          <w:sz w:val="24"/>
          <w:szCs w:val="24"/>
        </w:rPr>
        <w:lastRenderedPageBreak/>
        <w:t>seen in outpatient clinic for long term follow-up; one patient had the tube displaced and one patient had the tube obstructed.</w:t>
      </w:r>
    </w:p>
    <w:p w14:paraId="0700E639" w14:textId="77777777" w:rsidR="00446E3E" w:rsidRPr="003E282A" w:rsidRDefault="00446E3E" w:rsidP="00446E3E">
      <w:pPr>
        <w:autoSpaceDE w:val="0"/>
        <w:autoSpaceDN w:val="0"/>
        <w:adjustRightInd w:val="0"/>
        <w:spacing w:after="0" w:line="480" w:lineRule="auto"/>
        <w:jc w:val="both"/>
        <w:rPr>
          <w:rFonts w:ascii="Times New Roman" w:hAnsi="Times New Roman" w:cs="Times New Roman"/>
          <w:sz w:val="24"/>
          <w:szCs w:val="24"/>
        </w:rPr>
      </w:pPr>
      <w:r w:rsidRPr="003E282A">
        <w:rPr>
          <w:rFonts w:ascii="Times New Roman" w:hAnsi="Times New Roman" w:cs="Times New Roman"/>
          <w:b/>
          <w:bCs/>
          <w:sz w:val="24"/>
          <w:szCs w:val="24"/>
        </w:rPr>
        <w:t xml:space="preserve">Conclusion: </w:t>
      </w:r>
      <w:r w:rsidRPr="003E282A">
        <w:rPr>
          <w:rFonts w:ascii="Times New Roman" w:hAnsi="Times New Roman" w:cs="Times New Roman"/>
          <w:sz w:val="24"/>
          <w:szCs w:val="24"/>
        </w:rPr>
        <w:t>Enteral nutrition should be preferred in patients who require long-term nutrition to avoid the complications of parenteral nutrition.</w:t>
      </w:r>
      <w:r w:rsidRPr="003E282A">
        <w:rPr>
          <w:rFonts w:ascii="Times New Roman" w:hAnsi="Times New Roman" w:cs="Times New Roman"/>
          <w:color w:val="000000"/>
          <w:sz w:val="24"/>
          <w:szCs w:val="24"/>
        </w:rPr>
        <w:t xml:space="preserve"> PEG-related complications were low in frequency and there were no cases of PEG-related mortality. </w:t>
      </w:r>
      <w:r w:rsidRPr="003E282A">
        <w:rPr>
          <w:rFonts w:ascii="Times New Roman" w:eastAsia="DINbekLight" w:hAnsi="Times New Roman" w:cs="Times New Roman"/>
          <w:sz w:val="24"/>
          <w:szCs w:val="24"/>
        </w:rPr>
        <w:t>PEG procedure has some advantages such as simplicity, low complication rates</w:t>
      </w:r>
      <w:r>
        <w:rPr>
          <w:rFonts w:ascii="Times New Roman" w:eastAsia="DINbekLight" w:hAnsi="Times New Roman" w:cs="Times New Roman"/>
          <w:sz w:val="24"/>
          <w:szCs w:val="24"/>
        </w:rPr>
        <w:t xml:space="preserve"> and</w:t>
      </w:r>
      <w:r w:rsidRPr="003E282A">
        <w:rPr>
          <w:rFonts w:ascii="Times New Roman" w:eastAsia="DINbekLight" w:hAnsi="Times New Roman" w:cs="Times New Roman"/>
          <w:sz w:val="24"/>
          <w:szCs w:val="24"/>
        </w:rPr>
        <w:t xml:space="preserve"> long term enteral nutrition.</w:t>
      </w:r>
      <w:r w:rsidRPr="003E282A">
        <w:rPr>
          <w:rFonts w:ascii="Times New Roman" w:hAnsi="Times New Roman" w:cs="Times New Roman"/>
          <w:sz w:val="24"/>
          <w:szCs w:val="24"/>
        </w:rPr>
        <w:t xml:space="preserve"> </w:t>
      </w:r>
    </w:p>
    <w:p w14:paraId="488CD912" w14:textId="77777777"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r w:rsidRPr="0020724B">
        <w:rPr>
          <w:rFonts w:ascii="Times New Roman" w:hAnsi="Times New Roman" w:cs="Times New Roman"/>
          <w:b/>
          <w:bCs/>
          <w:sz w:val="24"/>
          <w:szCs w:val="24"/>
        </w:rPr>
        <w:t xml:space="preserve">Key words: </w:t>
      </w:r>
      <w:r w:rsidRPr="0020724B">
        <w:rPr>
          <w:rFonts w:ascii="Times New Roman" w:hAnsi="Times New Roman" w:cs="Times New Roman"/>
          <w:sz w:val="24"/>
          <w:szCs w:val="24"/>
        </w:rPr>
        <w:t xml:space="preserve">Percutaneous endoscopic gastrostomy, </w:t>
      </w:r>
      <w:r>
        <w:rPr>
          <w:rFonts w:ascii="Times New Roman" w:hAnsi="Times New Roman" w:cs="Times New Roman"/>
          <w:sz w:val="24"/>
          <w:szCs w:val="24"/>
        </w:rPr>
        <w:t>enteral nutrition</w:t>
      </w:r>
      <w:r w:rsidRPr="0020724B">
        <w:rPr>
          <w:rFonts w:ascii="Times New Roman" w:hAnsi="Times New Roman" w:cs="Times New Roman"/>
          <w:sz w:val="24"/>
          <w:szCs w:val="24"/>
        </w:rPr>
        <w:t>, complication</w:t>
      </w:r>
    </w:p>
    <w:p w14:paraId="5E706280" w14:textId="77777777" w:rsidR="00446E3E" w:rsidRDefault="00446E3E" w:rsidP="00446E3E">
      <w:pPr>
        <w:autoSpaceDE w:val="0"/>
        <w:autoSpaceDN w:val="0"/>
        <w:adjustRightInd w:val="0"/>
        <w:spacing w:after="0" w:line="480" w:lineRule="auto"/>
        <w:jc w:val="both"/>
        <w:rPr>
          <w:rFonts w:ascii="Times New Roman" w:hAnsi="Times New Roman" w:cs="Times New Roman"/>
          <w:b/>
          <w:bCs/>
          <w:sz w:val="24"/>
          <w:szCs w:val="24"/>
        </w:rPr>
      </w:pPr>
    </w:p>
    <w:p w14:paraId="187FB5F9" w14:textId="77777777"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p>
    <w:p w14:paraId="7674D364" w14:textId="77777777" w:rsidR="00446E3E" w:rsidRPr="00654A84" w:rsidRDefault="00446E3E" w:rsidP="00446E3E">
      <w:pPr>
        <w:spacing w:line="480" w:lineRule="auto"/>
        <w:jc w:val="both"/>
        <w:rPr>
          <w:rFonts w:ascii="Times New Roman" w:hAnsi="Times New Roman" w:cs="Times New Roman"/>
          <w:b/>
          <w:sz w:val="24"/>
          <w:szCs w:val="24"/>
        </w:rPr>
      </w:pPr>
      <w:r w:rsidRPr="00654A84">
        <w:rPr>
          <w:rFonts w:ascii="Times New Roman" w:hAnsi="Times New Roman" w:cs="Times New Roman"/>
          <w:b/>
          <w:sz w:val="24"/>
          <w:szCs w:val="24"/>
        </w:rPr>
        <w:t>INTRODUCTION</w:t>
      </w:r>
    </w:p>
    <w:p w14:paraId="7ADE9D88" w14:textId="77777777" w:rsidR="00446E3E" w:rsidRDefault="00446E3E" w:rsidP="00446E3E">
      <w:pPr>
        <w:spacing w:line="480" w:lineRule="auto"/>
        <w:jc w:val="both"/>
        <w:rPr>
          <w:rFonts w:ascii="Times New Roman" w:hAnsi="Times New Roman" w:cs="Times New Roman"/>
          <w:sz w:val="24"/>
          <w:szCs w:val="24"/>
        </w:rPr>
      </w:pPr>
      <w:bookmarkStart w:id="1" w:name="_Hlk168061347"/>
      <w:r>
        <w:rPr>
          <w:rFonts w:ascii="Times New Roman" w:hAnsi="Times New Roman" w:cs="Times New Roman"/>
          <w:sz w:val="24"/>
          <w:szCs w:val="24"/>
        </w:rPr>
        <w:t xml:space="preserve">Enteral nutrition is important for the functions of the gastrointestinal mucosa, intestinal immunity and the maintenance of flora. </w:t>
      </w:r>
      <w:r w:rsidRPr="00CF3580">
        <w:rPr>
          <w:rStyle w:val="A0"/>
          <w:rFonts w:ascii="Times New Roman" w:hAnsi="Times New Roman" w:cs="Times New Roman"/>
          <w:sz w:val="24"/>
          <w:szCs w:val="24"/>
        </w:rPr>
        <w:t xml:space="preserve">Percutaneous endoscopic gastrostomy (PEG) is a preferred method in patients with an active gastrointestinal tract who require long-term enteral nutrition. </w:t>
      </w:r>
      <w:bookmarkEnd w:id="1"/>
      <w:r>
        <w:rPr>
          <w:rFonts w:ascii="Times New Roman" w:hAnsi="Times New Roman" w:cs="Times New Roman"/>
          <w:sz w:val="24"/>
          <w:szCs w:val="24"/>
        </w:rPr>
        <w:t>PEG tube is used for enteral nutrition,  hydration and drug administration in patients unable to take long-term oral intake(1).</w:t>
      </w:r>
    </w:p>
    <w:p w14:paraId="494E7480" w14:textId="77777777" w:rsidR="00446E3E" w:rsidRDefault="00446E3E" w:rsidP="00446E3E">
      <w:pPr>
        <w:spacing w:line="480" w:lineRule="auto"/>
        <w:jc w:val="both"/>
        <w:rPr>
          <w:rStyle w:val="A0"/>
          <w:rFonts w:ascii="Times New Roman" w:hAnsi="Times New Roman" w:cs="Times New Roman"/>
          <w:sz w:val="24"/>
          <w:szCs w:val="24"/>
        </w:rPr>
      </w:pPr>
      <w:r>
        <w:rPr>
          <w:rStyle w:val="A0"/>
          <w:rFonts w:ascii="Times New Roman" w:hAnsi="Times New Roman" w:cs="Times New Roman"/>
          <w:sz w:val="24"/>
          <w:szCs w:val="24"/>
        </w:rPr>
        <w:t xml:space="preserve">PEG was first performed by Dr Michael Gauderer(pediatric surgeon) in 1979(2).  </w:t>
      </w:r>
      <w:r w:rsidRPr="00A05990">
        <w:rPr>
          <w:rStyle w:val="A0"/>
          <w:rFonts w:ascii="Times New Roman" w:hAnsi="Times New Roman" w:cs="Times New Roman"/>
          <w:sz w:val="24"/>
          <w:szCs w:val="24"/>
        </w:rPr>
        <w:t>It is highly superior compared to surgical gastrostomy(3,4).</w:t>
      </w:r>
      <w:r>
        <w:rPr>
          <w:rStyle w:val="A0"/>
          <w:rFonts w:ascii="Times New Roman" w:hAnsi="Times New Roman" w:cs="Times New Roman"/>
          <w:sz w:val="24"/>
          <w:szCs w:val="24"/>
        </w:rPr>
        <w:t xml:space="preserve"> Enteral nutrition maintains normal intestinal functions and has a lower rate of infection than parenteral nutrition</w:t>
      </w:r>
      <w:r>
        <w:rPr>
          <w:rStyle w:val="A5"/>
          <w:rFonts w:ascii="Times New Roman" w:hAnsi="Times New Roman" w:cs="Times New Roman"/>
          <w:sz w:val="24"/>
          <w:szCs w:val="24"/>
        </w:rPr>
        <w:t>(5)</w:t>
      </w:r>
      <w:r>
        <w:rPr>
          <w:rStyle w:val="A0"/>
          <w:rFonts w:ascii="Times New Roman" w:hAnsi="Times New Roman" w:cs="Times New Roman"/>
          <w:sz w:val="24"/>
          <w:szCs w:val="24"/>
        </w:rPr>
        <w:t>.</w:t>
      </w:r>
    </w:p>
    <w:p w14:paraId="61D82359" w14:textId="77777777" w:rsidR="00446E3E" w:rsidRDefault="00446E3E" w:rsidP="00446E3E">
      <w:pPr>
        <w:autoSpaceDE w:val="0"/>
        <w:autoSpaceDN w:val="0"/>
        <w:adjustRightInd w:val="0"/>
        <w:spacing w:after="0" w:line="480" w:lineRule="auto"/>
        <w:jc w:val="both"/>
        <w:rPr>
          <w:rFonts w:ascii="Times New Roman" w:hAnsi="Times New Roman" w:cs="Times New Roman"/>
          <w:color w:val="000000"/>
          <w:sz w:val="24"/>
          <w:szCs w:val="24"/>
        </w:rPr>
      </w:pPr>
      <w:r w:rsidRPr="00A05990">
        <w:rPr>
          <w:rFonts w:ascii="Times New Roman" w:hAnsi="Times New Roman" w:cs="Times New Roman"/>
          <w:sz w:val="24"/>
          <w:szCs w:val="24"/>
        </w:rPr>
        <w:t xml:space="preserve">Enteral nutrition protects the integrity of the intestinal mucosa, preserves immunity and provides resistance against infections. Although nasogastric tube use is appropriate for short-term enteral nutrition administration, PEG </w:t>
      </w:r>
      <w:r>
        <w:rPr>
          <w:rFonts w:ascii="Times New Roman" w:hAnsi="Times New Roman" w:cs="Times New Roman"/>
          <w:sz w:val="24"/>
          <w:szCs w:val="24"/>
        </w:rPr>
        <w:t>procedure</w:t>
      </w:r>
      <w:r w:rsidRPr="00A05990">
        <w:rPr>
          <w:rFonts w:ascii="Times New Roman" w:hAnsi="Times New Roman" w:cs="Times New Roman"/>
          <w:sz w:val="24"/>
          <w:szCs w:val="24"/>
        </w:rPr>
        <w:t xml:space="preserve"> is preferred for long-term enteral nutrition support(6,7</w:t>
      </w:r>
      <w:r w:rsidRPr="00CF3580">
        <w:rPr>
          <w:rFonts w:ascii="Times New Roman" w:hAnsi="Times New Roman" w:cs="Times New Roman"/>
          <w:sz w:val="24"/>
          <w:szCs w:val="24"/>
        </w:rPr>
        <w:t xml:space="preserve">). </w:t>
      </w:r>
      <w:r w:rsidRPr="00CF3580">
        <w:rPr>
          <w:rFonts w:ascii="Times New Roman" w:hAnsi="Times New Roman" w:cs="Times New Roman"/>
          <w:color w:val="000000"/>
          <w:sz w:val="24"/>
          <w:szCs w:val="24"/>
        </w:rPr>
        <w:t>Enteral nutrition, as well as enteral feeding with PEG</w:t>
      </w:r>
      <w:r>
        <w:rPr>
          <w:rFonts w:ascii="Times New Roman" w:hAnsi="Times New Roman" w:cs="Times New Roman"/>
          <w:color w:val="000000"/>
          <w:sz w:val="24"/>
          <w:szCs w:val="24"/>
        </w:rPr>
        <w:t xml:space="preserve"> tube</w:t>
      </w:r>
      <w:r w:rsidRPr="00CF3580">
        <w:rPr>
          <w:rFonts w:ascii="Times New Roman" w:hAnsi="Times New Roman" w:cs="Times New Roman"/>
          <w:color w:val="000000"/>
          <w:sz w:val="24"/>
          <w:szCs w:val="24"/>
        </w:rPr>
        <w:t xml:space="preserve">, are recommended in patients with </w:t>
      </w:r>
      <w:r w:rsidRPr="00CF3580">
        <w:rPr>
          <w:rFonts w:ascii="Times New Roman" w:hAnsi="Times New Roman" w:cs="Times New Roman"/>
          <w:sz w:val="24"/>
          <w:szCs w:val="24"/>
        </w:rPr>
        <w:t xml:space="preserve">chronic neurological disorders such as brain trauma, cerebral palsy, neuromuscular disorders, and those who have had serious head and neck trauma and/or </w:t>
      </w:r>
      <w:r w:rsidRPr="00CF3580">
        <w:rPr>
          <w:rFonts w:ascii="Times New Roman" w:hAnsi="Times New Roman" w:cs="Times New Roman"/>
          <w:sz w:val="24"/>
          <w:szCs w:val="24"/>
        </w:rPr>
        <w:lastRenderedPageBreak/>
        <w:t>upper respiratory tract surgery. In addition, Decompression with PEG</w:t>
      </w:r>
      <w:r>
        <w:rPr>
          <w:rFonts w:ascii="Times New Roman" w:hAnsi="Times New Roman" w:cs="Times New Roman"/>
          <w:sz w:val="24"/>
          <w:szCs w:val="24"/>
        </w:rPr>
        <w:t xml:space="preserve"> tube</w:t>
      </w:r>
      <w:r w:rsidRPr="00CF3580">
        <w:rPr>
          <w:rFonts w:ascii="Times New Roman" w:hAnsi="Times New Roman" w:cs="Times New Roman"/>
          <w:sz w:val="24"/>
          <w:szCs w:val="24"/>
        </w:rPr>
        <w:t xml:space="preserve"> is also used for chronic lower gastrointestinal obstruction due to advanced abdominal malignancy(8).</w:t>
      </w:r>
      <w:r w:rsidRPr="00CF3580">
        <w:rPr>
          <w:rFonts w:ascii="Times New Roman" w:hAnsi="Times New Roman" w:cs="Times New Roman"/>
          <w:color w:val="000000"/>
          <w:sz w:val="24"/>
          <w:szCs w:val="24"/>
        </w:rPr>
        <w:t>Herein, we present our results on PEG-related outcomes, as well as the patient characteristics, in a group of patients admitted to our endoscopy unit.</w:t>
      </w:r>
    </w:p>
    <w:p w14:paraId="3BD0E6CC" w14:textId="77777777" w:rsidR="00446E3E" w:rsidRDefault="00446E3E" w:rsidP="00446E3E">
      <w:pPr>
        <w:autoSpaceDE w:val="0"/>
        <w:autoSpaceDN w:val="0"/>
        <w:adjustRightInd w:val="0"/>
        <w:spacing w:after="0" w:line="240" w:lineRule="auto"/>
        <w:jc w:val="both"/>
        <w:rPr>
          <w:rFonts w:ascii="Times New Roman" w:hAnsi="Times New Roman" w:cs="Times New Roman"/>
          <w:color w:val="000000"/>
          <w:sz w:val="24"/>
          <w:szCs w:val="24"/>
        </w:rPr>
      </w:pPr>
    </w:p>
    <w:p w14:paraId="5832F54D" w14:textId="77777777" w:rsidR="00446E3E" w:rsidRPr="00654A84" w:rsidRDefault="00446E3E" w:rsidP="00446E3E">
      <w:pPr>
        <w:autoSpaceDE w:val="0"/>
        <w:autoSpaceDN w:val="0"/>
        <w:adjustRightInd w:val="0"/>
        <w:spacing w:after="0" w:line="480" w:lineRule="auto"/>
        <w:jc w:val="both"/>
        <w:rPr>
          <w:rFonts w:ascii="Times New Roman" w:hAnsi="Times New Roman" w:cs="Times New Roman"/>
          <w:b/>
          <w:color w:val="000000"/>
          <w:sz w:val="24"/>
          <w:szCs w:val="24"/>
        </w:rPr>
      </w:pPr>
      <w:r w:rsidRPr="00654A84">
        <w:rPr>
          <w:rFonts w:ascii="Times New Roman" w:hAnsi="Times New Roman" w:cs="Times New Roman"/>
          <w:b/>
          <w:color w:val="000000"/>
          <w:sz w:val="24"/>
          <w:szCs w:val="24"/>
        </w:rPr>
        <w:t>MATERIALS AND METHODS</w:t>
      </w:r>
    </w:p>
    <w:p w14:paraId="35F978F8" w14:textId="77777777"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r w:rsidRPr="005C6DF4">
        <w:t xml:space="preserve"> </w:t>
      </w:r>
      <w:r w:rsidRPr="0020724B">
        <w:rPr>
          <w:rFonts w:ascii="Times New Roman" w:hAnsi="Times New Roman" w:cs="Times New Roman"/>
          <w:color w:val="000000"/>
          <w:sz w:val="24"/>
          <w:szCs w:val="24"/>
        </w:rPr>
        <w:t xml:space="preserve">Patients undergoing PEG between </w:t>
      </w:r>
      <w:r>
        <w:rPr>
          <w:rFonts w:ascii="Times New Roman" w:hAnsi="Times New Roman" w:cs="Times New Roman"/>
          <w:color w:val="000000"/>
          <w:sz w:val="24"/>
          <w:szCs w:val="24"/>
        </w:rPr>
        <w:t xml:space="preserve">march </w:t>
      </w:r>
      <w:r w:rsidRPr="0020724B">
        <w:rPr>
          <w:rFonts w:ascii="Times New Roman" w:hAnsi="Times New Roman" w:cs="Times New Roman"/>
          <w:color w:val="000000"/>
          <w:sz w:val="24"/>
          <w:szCs w:val="24"/>
        </w:rPr>
        <w:t xml:space="preserve">2022 and  </w:t>
      </w:r>
      <w:r>
        <w:rPr>
          <w:rFonts w:ascii="Times New Roman" w:hAnsi="Times New Roman" w:cs="Times New Roman"/>
          <w:color w:val="000000"/>
          <w:sz w:val="24"/>
          <w:szCs w:val="24"/>
        </w:rPr>
        <w:t xml:space="preserve">march </w:t>
      </w:r>
      <w:r w:rsidRPr="0020724B">
        <w:rPr>
          <w:rFonts w:ascii="Times New Roman" w:hAnsi="Times New Roman" w:cs="Times New Roman"/>
          <w:color w:val="000000"/>
          <w:sz w:val="24"/>
          <w:szCs w:val="24"/>
        </w:rPr>
        <w:t xml:space="preserve">2023 were retrospectively examined. </w:t>
      </w:r>
      <w:r w:rsidRPr="0020724B">
        <w:rPr>
          <w:rFonts w:ascii="Times New Roman" w:hAnsi="Times New Roman" w:cs="Times New Roman"/>
          <w:sz w:val="24"/>
          <w:szCs w:val="24"/>
        </w:rPr>
        <w:t xml:space="preserve"> </w:t>
      </w:r>
      <w:bookmarkStart w:id="2" w:name="_Hlk168061982"/>
      <w:r w:rsidRPr="0020724B">
        <w:rPr>
          <w:rFonts w:ascii="Times New Roman" w:hAnsi="Times New Roman" w:cs="Times New Roman"/>
          <w:sz w:val="24"/>
          <w:szCs w:val="24"/>
        </w:rPr>
        <w:t xml:space="preserve">Ages, genders, main diagnoses, PEG-related complications and one-month mortality rates of the patients were recorded. </w:t>
      </w:r>
      <w:bookmarkEnd w:id="2"/>
      <w:r w:rsidRPr="0020724B">
        <w:rPr>
          <w:rFonts w:ascii="Times New Roman" w:hAnsi="Times New Roman" w:cs="Times New Roman"/>
          <w:sz w:val="24"/>
          <w:szCs w:val="24"/>
        </w:rPr>
        <w:t xml:space="preserve">Routine laboratory values of the patients in whom PEG was indicated were analysed before the procedure. Oral intake through nasogastric catheter was discontinued 8 hours before the procedure. Except for intubated patients, midazolam was used for sedation, local prilocaine for superficial skin anaesthesia and local lidocaine spray for oropharynx anaesthesia. </w:t>
      </w:r>
      <w:r w:rsidRPr="0020724B">
        <w:rPr>
          <w:rFonts w:ascii="Times New Roman" w:hAnsi="Times New Roman" w:cs="Times New Roman"/>
          <w:color w:val="000000"/>
          <w:sz w:val="24"/>
          <w:szCs w:val="24"/>
        </w:rPr>
        <w:t xml:space="preserve">PEG was established by a general surgeon with expertise on this field using the “pull” technique, and percutaneous placement of a 20-F gastrostomy tube with a “Roll” type bumper. </w:t>
      </w:r>
      <w:r w:rsidRPr="0020724B">
        <w:rPr>
          <w:rFonts w:ascii="Times New Roman" w:hAnsi="Times New Roman" w:cs="Times New Roman"/>
          <w:sz w:val="24"/>
          <w:szCs w:val="24"/>
        </w:rPr>
        <w:t xml:space="preserve"> All procedures were performed with Fujinon eve E-400 fibreendoscope. Approximately 45 minutes before the procedure, cefazolin sodium 1 g IV was administered prophylactically to patients who were not using antibiotics for their primary disease. Approximately 12 hours after the procedure, approximately 20 cc of water was given through the tube. Enteral nutrition was started 12 hours after it was observed that there was no leakage around the tube.</w:t>
      </w:r>
    </w:p>
    <w:p w14:paraId="3EA28E72"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14:paraId="7D3F88C5"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14:paraId="096EFA36" w14:textId="77777777" w:rsidR="00446E3E" w:rsidRPr="00654A84" w:rsidRDefault="00446E3E" w:rsidP="00446E3E">
      <w:pPr>
        <w:autoSpaceDE w:val="0"/>
        <w:autoSpaceDN w:val="0"/>
        <w:adjustRightInd w:val="0"/>
        <w:spacing w:after="0" w:line="480" w:lineRule="auto"/>
        <w:rPr>
          <w:rFonts w:ascii="Times New Roman" w:hAnsi="Times New Roman" w:cs="Times New Roman"/>
          <w:b/>
          <w:bCs/>
          <w:sz w:val="24"/>
          <w:szCs w:val="24"/>
        </w:rPr>
      </w:pPr>
      <w:r w:rsidRPr="00654A84">
        <w:rPr>
          <w:rFonts w:ascii="Times New Roman" w:hAnsi="Times New Roman" w:cs="Times New Roman"/>
          <w:b/>
          <w:bCs/>
          <w:sz w:val="24"/>
          <w:szCs w:val="24"/>
        </w:rPr>
        <w:t>RESULTS</w:t>
      </w:r>
    </w:p>
    <w:p w14:paraId="01819AD9" w14:textId="77777777"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r w:rsidRPr="0020724B">
        <w:rPr>
          <w:rFonts w:ascii="Times New Roman" w:hAnsi="Times New Roman" w:cs="Times New Roman"/>
          <w:sz w:val="24"/>
          <w:szCs w:val="24"/>
        </w:rPr>
        <w:t xml:space="preserve">Percutaneous endoscopic gastrostomy tubes were placed in 29 patients. Of the patients who </w:t>
      </w:r>
      <w:r w:rsidRPr="0020724B">
        <w:rPr>
          <w:rFonts w:ascii="Times New Roman" w:hAnsi="Times New Roman" w:cs="Times New Roman"/>
          <w:color w:val="000000"/>
          <w:sz w:val="24"/>
          <w:szCs w:val="24"/>
        </w:rPr>
        <w:t>included in the study,</w:t>
      </w:r>
      <w:r w:rsidRPr="0020724B">
        <w:rPr>
          <w:rFonts w:ascii="Times New Roman" w:hAnsi="Times New Roman" w:cs="Times New Roman"/>
          <w:sz w:val="24"/>
          <w:szCs w:val="24"/>
        </w:rPr>
        <w:t xml:space="preserve"> 20 (68%) were female and 9 (32%) were male. </w:t>
      </w:r>
      <w:r w:rsidRPr="0020724B">
        <w:rPr>
          <w:rFonts w:ascii="Times New Roman" w:hAnsi="Times New Roman" w:cs="Times New Roman"/>
          <w:color w:val="000000"/>
          <w:sz w:val="24"/>
          <w:szCs w:val="24"/>
        </w:rPr>
        <w:t xml:space="preserve">The mean age of the patients was </w:t>
      </w:r>
      <w:r w:rsidRPr="0020724B">
        <w:rPr>
          <w:rFonts w:ascii="Times New Roman" w:hAnsi="Times New Roman" w:cs="Times New Roman"/>
          <w:sz w:val="24"/>
          <w:szCs w:val="24"/>
        </w:rPr>
        <w:t xml:space="preserve">85.2 (30-95) years. When the distribution of the patients according to their etiologies was analysed, Patients who underwent peg procedure according to clinics are </w:t>
      </w:r>
      <w:r w:rsidRPr="0020724B">
        <w:rPr>
          <w:rFonts w:ascii="Times New Roman" w:hAnsi="Times New Roman" w:cs="Times New Roman"/>
          <w:sz w:val="24"/>
          <w:szCs w:val="24"/>
        </w:rPr>
        <w:lastRenderedPageBreak/>
        <w:t xml:space="preserve">shown in Table 1. Alzeimer, dementia, Parkinson's diseases were the most common etiologies. Etiological reasons are given in detail in Table 2. PEG was mostly performed in 15 patients in the anaesthesiology and reanimation clinic. Of these, 7 patients were followed by neurology clinic (Table 2). General anaesthesia was not required in any of the procedures. After the procedure, early catheter-related complications occurred in 2 (6.89%) patients, one patient had periostomal infection and one patient had bleeding from the PEG site. </w:t>
      </w:r>
    </w:p>
    <w:p w14:paraId="641E3745" w14:textId="77777777" w:rsidR="00446E3E" w:rsidRPr="0020724B" w:rsidRDefault="00446E3E" w:rsidP="00446E3E">
      <w:pPr>
        <w:autoSpaceDE w:val="0"/>
        <w:autoSpaceDN w:val="0"/>
        <w:adjustRightInd w:val="0"/>
        <w:spacing w:after="0" w:line="480" w:lineRule="auto"/>
        <w:jc w:val="both"/>
        <w:rPr>
          <w:rFonts w:ascii="Times New Roman" w:hAnsi="Times New Roman" w:cs="Times New Roman"/>
          <w:sz w:val="24"/>
          <w:szCs w:val="24"/>
        </w:rPr>
      </w:pPr>
      <w:bookmarkStart w:id="3" w:name="_Hlk168063612"/>
      <w:r w:rsidRPr="0020724B">
        <w:rPr>
          <w:rFonts w:ascii="Times New Roman" w:hAnsi="Times New Roman" w:cs="Times New Roman"/>
          <w:sz w:val="24"/>
          <w:szCs w:val="24"/>
        </w:rPr>
        <w:t xml:space="preserve">The PEG tube of the patient with periostomal infection was removed. </w:t>
      </w:r>
      <w:bookmarkStart w:id="4" w:name="_Hlk168060550"/>
      <w:r w:rsidRPr="0020724B">
        <w:rPr>
          <w:rFonts w:ascii="Times New Roman" w:hAnsi="Times New Roman" w:cs="Times New Roman"/>
          <w:sz w:val="24"/>
          <w:szCs w:val="24"/>
        </w:rPr>
        <w:t xml:space="preserve">Two weeks later, the patient was re-inserted a PEG tube. </w:t>
      </w:r>
      <w:bookmarkEnd w:id="4"/>
      <w:r w:rsidRPr="0020724B">
        <w:rPr>
          <w:rFonts w:ascii="Times New Roman" w:hAnsi="Times New Roman" w:cs="Times New Roman"/>
          <w:sz w:val="24"/>
          <w:szCs w:val="24"/>
        </w:rPr>
        <w:t>In the patient with bleeding from the edge of the PEG tube, the PEG tube was not removed because the bleeding stopped spontaneously after approximately 12 hours of follow-up</w:t>
      </w:r>
      <w:bookmarkEnd w:id="3"/>
      <w:r w:rsidRPr="0020724B">
        <w:rPr>
          <w:rFonts w:ascii="Times New Roman" w:hAnsi="Times New Roman" w:cs="Times New Roman"/>
          <w:sz w:val="24"/>
          <w:szCs w:val="24"/>
        </w:rPr>
        <w:t xml:space="preserve">. During the hospitalisation period, 5 (17.24%) patients died due to primary disease, 3 (10.34%) of which occurred in the first month. There was no PEG-related death in any patient. In long-term follow-up, the PEG tube was </w:t>
      </w:r>
      <w:bookmarkStart w:id="5" w:name="_Hlk168064068"/>
      <w:r w:rsidRPr="0020724B">
        <w:rPr>
          <w:rFonts w:ascii="Times New Roman" w:hAnsi="Times New Roman" w:cs="Times New Roman"/>
          <w:sz w:val="24"/>
          <w:szCs w:val="24"/>
        </w:rPr>
        <w:t>displaced</w:t>
      </w:r>
      <w:bookmarkEnd w:id="5"/>
      <w:r w:rsidRPr="0020724B">
        <w:rPr>
          <w:rFonts w:ascii="Times New Roman" w:hAnsi="Times New Roman" w:cs="Times New Roman"/>
          <w:sz w:val="24"/>
          <w:szCs w:val="24"/>
        </w:rPr>
        <w:t xml:space="preserve"> in one patient. with consequent replacement of the tube and an obstruction of the feeding tube occurred in one patient. In the other patient, PEG tube was opened by sending endoscopic forceps through the tube.  The late complication rate was 6.89%. Early and late complications of PEG are shown in Table 3.</w:t>
      </w:r>
    </w:p>
    <w:p w14:paraId="763B33FF" w14:textId="77777777" w:rsidR="00446E3E" w:rsidRPr="0020724B" w:rsidRDefault="00446E3E" w:rsidP="00446E3E">
      <w:pPr>
        <w:autoSpaceDE w:val="0"/>
        <w:autoSpaceDN w:val="0"/>
        <w:adjustRightInd w:val="0"/>
        <w:spacing w:after="0" w:line="240" w:lineRule="auto"/>
        <w:rPr>
          <w:rFonts w:ascii="Times New Roman" w:hAnsi="Times New Roman" w:cs="Times New Roman"/>
          <w:b/>
          <w:bCs/>
          <w:sz w:val="24"/>
          <w:szCs w:val="24"/>
        </w:rPr>
      </w:pPr>
      <w:r w:rsidRPr="0020724B">
        <w:rPr>
          <w:rFonts w:ascii="Times New Roman" w:hAnsi="Times New Roman" w:cs="Times New Roman"/>
          <w:b/>
          <w:bCs/>
          <w:sz w:val="24"/>
          <w:szCs w:val="24"/>
        </w:rPr>
        <w:t>Table 1. Distribution of the cases according to the clinics to which they were referred</w:t>
      </w:r>
    </w:p>
    <w:p w14:paraId="5846B273"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70"/>
        <w:gridCol w:w="3071"/>
        <w:gridCol w:w="3071"/>
      </w:tblGrid>
      <w:tr w:rsidR="00446E3E" w:rsidRPr="00654A84" w14:paraId="334EB6A4" w14:textId="77777777" w:rsidTr="008A24D7">
        <w:tc>
          <w:tcPr>
            <w:tcW w:w="3070" w:type="dxa"/>
          </w:tcPr>
          <w:p w14:paraId="2B38C683" w14:textId="77777777" w:rsidR="00446E3E" w:rsidRPr="00654A84" w:rsidRDefault="00446E3E" w:rsidP="008A24D7">
            <w:pPr>
              <w:autoSpaceDE w:val="0"/>
              <w:autoSpaceDN w:val="0"/>
              <w:adjustRightInd w:val="0"/>
              <w:rPr>
                <w:rFonts w:ascii="Times New Roman" w:hAnsi="Times New Roman" w:cs="Times New Roman"/>
                <w:sz w:val="24"/>
                <w:szCs w:val="24"/>
              </w:rPr>
            </w:pPr>
            <w:r w:rsidRPr="005C6DF4">
              <w:rPr>
                <w:rFonts w:ascii="Times New Roman" w:hAnsi="Times New Roman" w:cs="Times New Roman"/>
                <w:b/>
                <w:bCs/>
                <w:sz w:val="24"/>
                <w:szCs w:val="24"/>
              </w:rPr>
              <w:t>Clinic</w:t>
            </w:r>
          </w:p>
        </w:tc>
        <w:tc>
          <w:tcPr>
            <w:tcW w:w="3071" w:type="dxa"/>
          </w:tcPr>
          <w:p w14:paraId="3C24562C" w14:textId="77777777" w:rsidR="00446E3E" w:rsidRPr="0020724B" w:rsidRDefault="00446E3E" w:rsidP="008A24D7">
            <w:pPr>
              <w:autoSpaceDE w:val="0"/>
              <w:autoSpaceDN w:val="0"/>
              <w:adjustRightInd w:val="0"/>
              <w:rPr>
                <w:rFonts w:ascii="Times New Roman" w:hAnsi="Times New Roman" w:cs="Times New Roman"/>
                <w:b/>
                <w:bCs/>
                <w:sz w:val="24"/>
                <w:szCs w:val="24"/>
              </w:rPr>
            </w:pPr>
            <w:r w:rsidRPr="0020724B">
              <w:rPr>
                <w:rFonts w:ascii="Times New Roman" w:hAnsi="Times New Roman" w:cs="Times New Roman"/>
                <w:b/>
                <w:bCs/>
                <w:sz w:val="24"/>
                <w:szCs w:val="24"/>
              </w:rPr>
              <w:t>Number(n)</w:t>
            </w:r>
          </w:p>
        </w:tc>
        <w:tc>
          <w:tcPr>
            <w:tcW w:w="3071" w:type="dxa"/>
          </w:tcPr>
          <w:p w14:paraId="590AB3DE" w14:textId="77777777" w:rsidR="00446E3E" w:rsidRPr="0020724B" w:rsidRDefault="00446E3E" w:rsidP="008A24D7">
            <w:pPr>
              <w:autoSpaceDE w:val="0"/>
              <w:autoSpaceDN w:val="0"/>
              <w:adjustRightInd w:val="0"/>
              <w:rPr>
                <w:rFonts w:ascii="Times New Roman" w:hAnsi="Times New Roman" w:cs="Times New Roman"/>
                <w:i/>
                <w:iCs/>
                <w:sz w:val="24"/>
                <w:szCs w:val="24"/>
              </w:rPr>
            </w:pPr>
            <w:r w:rsidRPr="0020724B">
              <w:rPr>
                <w:rFonts w:ascii="Times New Roman" w:hAnsi="Times New Roman" w:cs="Times New Roman"/>
                <w:i/>
                <w:iCs/>
                <w:sz w:val="24"/>
                <w:szCs w:val="24"/>
              </w:rPr>
              <w:t>per cent(%)</w:t>
            </w:r>
          </w:p>
          <w:p w14:paraId="0AA33C58" w14:textId="77777777" w:rsidR="00446E3E" w:rsidRPr="00654A84" w:rsidRDefault="00446E3E" w:rsidP="008A24D7">
            <w:pPr>
              <w:autoSpaceDE w:val="0"/>
              <w:autoSpaceDN w:val="0"/>
              <w:adjustRightInd w:val="0"/>
              <w:rPr>
                <w:rFonts w:ascii="Times New Roman" w:hAnsi="Times New Roman" w:cs="Times New Roman"/>
                <w:sz w:val="24"/>
                <w:szCs w:val="24"/>
              </w:rPr>
            </w:pPr>
          </w:p>
        </w:tc>
      </w:tr>
      <w:tr w:rsidR="00446E3E" w:rsidRPr="00654A84" w14:paraId="6C279A73" w14:textId="77777777" w:rsidTr="008A24D7">
        <w:tc>
          <w:tcPr>
            <w:tcW w:w="3070" w:type="dxa"/>
          </w:tcPr>
          <w:p w14:paraId="6DC16DAB" w14:textId="77777777" w:rsidR="00446E3E" w:rsidRPr="00654A84" w:rsidRDefault="00446E3E" w:rsidP="008A24D7">
            <w:pPr>
              <w:autoSpaceDE w:val="0"/>
              <w:autoSpaceDN w:val="0"/>
              <w:adjustRightInd w:val="0"/>
              <w:rPr>
                <w:rFonts w:ascii="Times New Roman" w:hAnsi="Times New Roman" w:cs="Times New Roman"/>
                <w:sz w:val="24"/>
                <w:szCs w:val="24"/>
              </w:rPr>
            </w:pPr>
            <w:r w:rsidRPr="005C6DF4">
              <w:rPr>
                <w:rFonts w:ascii="Times New Roman" w:hAnsi="Times New Roman" w:cs="Times New Roman"/>
                <w:sz w:val="24"/>
                <w:szCs w:val="24"/>
              </w:rPr>
              <w:t>Anaesthesiology and Reanimation</w:t>
            </w:r>
          </w:p>
        </w:tc>
        <w:tc>
          <w:tcPr>
            <w:tcW w:w="3071" w:type="dxa"/>
          </w:tcPr>
          <w:p w14:paraId="30992CE3"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 xml:space="preserve">15 </w:t>
            </w:r>
          </w:p>
          <w:p w14:paraId="7F5BCC5D" w14:textId="77777777" w:rsidR="00446E3E" w:rsidRPr="00654A84" w:rsidRDefault="00446E3E" w:rsidP="008A24D7">
            <w:pPr>
              <w:autoSpaceDE w:val="0"/>
              <w:autoSpaceDN w:val="0"/>
              <w:adjustRightInd w:val="0"/>
              <w:rPr>
                <w:rFonts w:ascii="Times New Roman" w:hAnsi="Times New Roman" w:cs="Times New Roman"/>
                <w:sz w:val="24"/>
                <w:szCs w:val="24"/>
              </w:rPr>
            </w:pPr>
          </w:p>
        </w:tc>
        <w:tc>
          <w:tcPr>
            <w:tcW w:w="3071" w:type="dxa"/>
          </w:tcPr>
          <w:p w14:paraId="7FBC0C0F"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51,72</w:t>
            </w:r>
          </w:p>
        </w:tc>
      </w:tr>
      <w:tr w:rsidR="00446E3E" w:rsidRPr="00654A84" w14:paraId="542FD760" w14:textId="77777777" w:rsidTr="008A24D7">
        <w:tc>
          <w:tcPr>
            <w:tcW w:w="3070" w:type="dxa"/>
          </w:tcPr>
          <w:p w14:paraId="465D297C" w14:textId="77777777" w:rsidR="00446E3E" w:rsidRPr="00654A84" w:rsidRDefault="00446E3E" w:rsidP="008A24D7">
            <w:pPr>
              <w:autoSpaceDE w:val="0"/>
              <w:autoSpaceDN w:val="0"/>
              <w:adjustRightInd w:val="0"/>
              <w:rPr>
                <w:rFonts w:ascii="Times New Roman" w:hAnsi="Times New Roman" w:cs="Times New Roman"/>
                <w:sz w:val="24"/>
                <w:szCs w:val="24"/>
              </w:rPr>
            </w:pPr>
            <w:r w:rsidRPr="005C6DF4">
              <w:rPr>
                <w:rFonts w:ascii="Times New Roman" w:hAnsi="Times New Roman" w:cs="Times New Roman"/>
                <w:sz w:val="24"/>
                <w:szCs w:val="24"/>
              </w:rPr>
              <w:t>Neurology</w:t>
            </w:r>
          </w:p>
        </w:tc>
        <w:tc>
          <w:tcPr>
            <w:tcW w:w="3071" w:type="dxa"/>
          </w:tcPr>
          <w:p w14:paraId="7F0D4FB0"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7</w:t>
            </w:r>
          </w:p>
        </w:tc>
        <w:tc>
          <w:tcPr>
            <w:tcW w:w="3071" w:type="dxa"/>
          </w:tcPr>
          <w:p w14:paraId="3CB70461"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24,13</w:t>
            </w:r>
          </w:p>
        </w:tc>
      </w:tr>
      <w:tr w:rsidR="00446E3E" w:rsidRPr="00654A84" w14:paraId="54C9CE25" w14:textId="77777777" w:rsidTr="008A24D7">
        <w:tc>
          <w:tcPr>
            <w:tcW w:w="3070" w:type="dxa"/>
          </w:tcPr>
          <w:p w14:paraId="4A666B6B" w14:textId="77777777" w:rsidR="00446E3E" w:rsidRPr="00654A84" w:rsidRDefault="00446E3E" w:rsidP="008A24D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General Surgery</w:t>
            </w:r>
          </w:p>
        </w:tc>
        <w:tc>
          <w:tcPr>
            <w:tcW w:w="3071" w:type="dxa"/>
          </w:tcPr>
          <w:p w14:paraId="5633D723"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p w14:paraId="1DD14FCE" w14:textId="77777777" w:rsidR="00446E3E" w:rsidRPr="00654A84" w:rsidRDefault="00446E3E" w:rsidP="008A24D7">
            <w:pPr>
              <w:autoSpaceDE w:val="0"/>
              <w:autoSpaceDN w:val="0"/>
              <w:adjustRightInd w:val="0"/>
              <w:rPr>
                <w:rFonts w:ascii="Times New Roman" w:hAnsi="Times New Roman" w:cs="Times New Roman"/>
                <w:sz w:val="24"/>
                <w:szCs w:val="24"/>
              </w:rPr>
            </w:pPr>
          </w:p>
        </w:tc>
        <w:tc>
          <w:tcPr>
            <w:tcW w:w="3071" w:type="dxa"/>
          </w:tcPr>
          <w:p w14:paraId="01EF4F82"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r w:rsidR="00446E3E" w:rsidRPr="00654A84" w14:paraId="7FEA67EC" w14:textId="77777777" w:rsidTr="008A24D7">
        <w:tc>
          <w:tcPr>
            <w:tcW w:w="3070" w:type="dxa"/>
          </w:tcPr>
          <w:p w14:paraId="5CF649D1" w14:textId="77777777" w:rsidR="00446E3E" w:rsidRPr="00654A84" w:rsidRDefault="00446E3E" w:rsidP="008A24D7">
            <w:pPr>
              <w:autoSpaceDE w:val="0"/>
              <w:autoSpaceDN w:val="0"/>
              <w:adjustRightInd w:val="0"/>
              <w:rPr>
                <w:rFonts w:ascii="Times New Roman" w:hAnsi="Times New Roman" w:cs="Times New Roman"/>
                <w:sz w:val="24"/>
                <w:szCs w:val="24"/>
              </w:rPr>
            </w:pPr>
            <w:r w:rsidRPr="005C6DF4">
              <w:rPr>
                <w:rFonts w:ascii="Times New Roman" w:hAnsi="Times New Roman" w:cs="Times New Roman"/>
                <w:sz w:val="24"/>
                <w:szCs w:val="24"/>
              </w:rPr>
              <w:t>Neurosurgery</w:t>
            </w:r>
          </w:p>
        </w:tc>
        <w:tc>
          <w:tcPr>
            <w:tcW w:w="3071" w:type="dxa"/>
          </w:tcPr>
          <w:p w14:paraId="6F7AC8BD"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1</w:t>
            </w:r>
          </w:p>
        </w:tc>
        <w:tc>
          <w:tcPr>
            <w:tcW w:w="3071" w:type="dxa"/>
          </w:tcPr>
          <w:p w14:paraId="5473F77D"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3,44</w:t>
            </w:r>
          </w:p>
        </w:tc>
      </w:tr>
      <w:tr w:rsidR="00446E3E" w:rsidRPr="00654A84" w14:paraId="08003F56" w14:textId="77777777" w:rsidTr="008A24D7">
        <w:trPr>
          <w:trHeight w:val="253"/>
        </w:trPr>
        <w:tc>
          <w:tcPr>
            <w:tcW w:w="3070" w:type="dxa"/>
          </w:tcPr>
          <w:p w14:paraId="5EA1D00E" w14:textId="77777777"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Thoracic Medicine Clinic</w:t>
            </w:r>
          </w:p>
        </w:tc>
        <w:tc>
          <w:tcPr>
            <w:tcW w:w="3071" w:type="dxa"/>
          </w:tcPr>
          <w:p w14:paraId="00B784BA"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tc>
        <w:tc>
          <w:tcPr>
            <w:tcW w:w="3071" w:type="dxa"/>
          </w:tcPr>
          <w:p w14:paraId="1B6B8CAB"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r w:rsidR="00446E3E" w:rsidRPr="00654A84" w14:paraId="7D747C2E" w14:textId="77777777" w:rsidTr="008A24D7">
        <w:trPr>
          <w:trHeight w:val="173"/>
        </w:trPr>
        <w:tc>
          <w:tcPr>
            <w:tcW w:w="3070" w:type="dxa"/>
          </w:tcPr>
          <w:p w14:paraId="0C8A829A" w14:textId="77777777"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Internal Medicine</w:t>
            </w:r>
          </w:p>
        </w:tc>
        <w:tc>
          <w:tcPr>
            <w:tcW w:w="3071" w:type="dxa"/>
          </w:tcPr>
          <w:p w14:paraId="38C0FA31"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tc>
        <w:tc>
          <w:tcPr>
            <w:tcW w:w="3071" w:type="dxa"/>
          </w:tcPr>
          <w:p w14:paraId="5E4AFA62"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bl>
    <w:p w14:paraId="78CCF734"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14:paraId="6A3487E4"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14:paraId="7C4E155C"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14:paraId="5A965AF6"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14:paraId="552C88FA" w14:textId="77777777" w:rsidR="00446E3E" w:rsidRDefault="00446E3E" w:rsidP="00446E3E">
      <w:pPr>
        <w:autoSpaceDE w:val="0"/>
        <w:autoSpaceDN w:val="0"/>
        <w:adjustRightInd w:val="0"/>
        <w:spacing w:after="0" w:line="240" w:lineRule="auto"/>
        <w:rPr>
          <w:rFonts w:ascii="Times New Roman" w:hAnsi="Times New Roman" w:cs="Times New Roman"/>
          <w:b/>
          <w:bCs/>
          <w:sz w:val="24"/>
          <w:szCs w:val="24"/>
        </w:rPr>
      </w:pPr>
    </w:p>
    <w:p w14:paraId="288FB118" w14:textId="77777777" w:rsidR="00446E3E" w:rsidRDefault="00446E3E" w:rsidP="00446E3E">
      <w:pPr>
        <w:autoSpaceDE w:val="0"/>
        <w:autoSpaceDN w:val="0"/>
        <w:adjustRightInd w:val="0"/>
        <w:spacing w:after="0" w:line="240" w:lineRule="auto"/>
        <w:rPr>
          <w:rFonts w:ascii="Times New Roman" w:hAnsi="Times New Roman" w:cs="Times New Roman"/>
          <w:b/>
          <w:bCs/>
          <w:sz w:val="24"/>
          <w:szCs w:val="24"/>
        </w:rPr>
      </w:pPr>
    </w:p>
    <w:p w14:paraId="2B89AA21" w14:textId="77777777" w:rsidR="00446E3E" w:rsidRDefault="00446E3E" w:rsidP="00446E3E">
      <w:pPr>
        <w:autoSpaceDE w:val="0"/>
        <w:autoSpaceDN w:val="0"/>
        <w:adjustRightInd w:val="0"/>
        <w:spacing w:after="0" w:line="240" w:lineRule="auto"/>
        <w:rPr>
          <w:rFonts w:ascii="Times New Roman" w:hAnsi="Times New Roman" w:cs="Times New Roman"/>
          <w:b/>
          <w:bCs/>
          <w:sz w:val="24"/>
          <w:szCs w:val="24"/>
        </w:rPr>
      </w:pPr>
    </w:p>
    <w:p w14:paraId="5B50879B" w14:textId="77777777" w:rsidR="00446E3E" w:rsidRDefault="00446E3E" w:rsidP="00446E3E">
      <w:pPr>
        <w:autoSpaceDE w:val="0"/>
        <w:autoSpaceDN w:val="0"/>
        <w:adjustRightInd w:val="0"/>
        <w:spacing w:after="0" w:line="240" w:lineRule="auto"/>
        <w:rPr>
          <w:rFonts w:ascii="Times New Roman" w:hAnsi="Times New Roman" w:cs="Times New Roman"/>
          <w:b/>
          <w:bCs/>
          <w:sz w:val="24"/>
          <w:szCs w:val="24"/>
        </w:rPr>
      </w:pPr>
    </w:p>
    <w:p w14:paraId="3B6F3A6C" w14:textId="77777777" w:rsidR="00446E3E" w:rsidRPr="0020724B" w:rsidRDefault="00446E3E" w:rsidP="00446E3E">
      <w:pPr>
        <w:autoSpaceDE w:val="0"/>
        <w:autoSpaceDN w:val="0"/>
        <w:adjustRightInd w:val="0"/>
        <w:spacing w:after="0" w:line="480" w:lineRule="auto"/>
        <w:rPr>
          <w:rFonts w:ascii="Times New Roman" w:hAnsi="Times New Roman" w:cs="Times New Roman"/>
          <w:b/>
          <w:bCs/>
          <w:sz w:val="24"/>
          <w:szCs w:val="24"/>
        </w:rPr>
      </w:pPr>
      <w:r w:rsidRPr="0020724B">
        <w:rPr>
          <w:rFonts w:ascii="Times New Roman" w:hAnsi="Times New Roman" w:cs="Times New Roman"/>
          <w:b/>
          <w:bCs/>
          <w:sz w:val="24"/>
          <w:szCs w:val="24"/>
        </w:rPr>
        <w:t>Table 2. Distribution of cases according to their etiology</w:t>
      </w:r>
    </w:p>
    <w:tbl>
      <w:tblPr>
        <w:tblStyle w:val="TableGrid"/>
        <w:tblW w:w="0" w:type="auto"/>
        <w:tblLook w:val="04A0" w:firstRow="1" w:lastRow="0" w:firstColumn="1" w:lastColumn="0" w:noHBand="0" w:noVBand="1"/>
      </w:tblPr>
      <w:tblGrid>
        <w:gridCol w:w="3070"/>
        <w:gridCol w:w="3071"/>
        <w:gridCol w:w="3071"/>
      </w:tblGrid>
      <w:tr w:rsidR="00446E3E" w:rsidRPr="00654A84" w14:paraId="4156D534" w14:textId="77777777" w:rsidTr="008A24D7">
        <w:tc>
          <w:tcPr>
            <w:tcW w:w="3070" w:type="dxa"/>
          </w:tcPr>
          <w:p w14:paraId="35211767" w14:textId="77777777"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b/>
                <w:bCs/>
                <w:sz w:val="24"/>
                <w:szCs w:val="24"/>
              </w:rPr>
              <w:t>Primary Disease</w:t>
            </w:r>
          </w:p>
        </w:tc>
        <w:tc>
          <w:tcPr>
            <w:tcW w:w="3071" w:type="dxa"/>
          </w:tcPr>
          <w:p w14:paraId="518B9FE9" w14:textId="77777777" w:rsidR="00446E3E" w:rsidRPr="0020724B" w:rsidRDefault="00446E3E" w:rsidP="008A24D7">
            <w:pPr>
              <w:autoSpaceDE w:val="0"/>
              <w:autoSpaceDN w:val="0"/>
              <w:adjustRightInd w:val="0"/>
              <w:rPr>
                <w:rFonts w:ascii="Times New Roman" w:hAnsi="Times New Roman" w:cs="Times New Roman"/>
                <w:b/>
                <w:bCs/>
                <w:sz w:val="24"/>
                <w:szCs w:val="24"/>
              </w:rPr>
            </w:pPr>
            <w:r w:rsidRPr="0020724B">
              <w:rPr>
                <w:rFonts w:ascii="Times New Roman" w:hAnsi="Times New Roman" w:cs="Times New Roman"/>
                <w:b/>
                <w:bCs/>
                <w:sz w:val="24"/>
                <w:szCs w:val="24"/>
              </w:rPr>
              <w:t>Number(n)</w:t>
            </w:r>
          </w:p>
        </w:tc>
        <w:tc>
          <w:tcPr>
            <w:tcW w:w="3071" w:type="dxa"/>
          </w:tcPr>
          <w:p w14:paraId="74829125" w14:textId="77777777" w:rsidR="00446E3E" w:rsidRPr="0020724B" w:rsidRDefault="00446E3E" w:rsidP="008A24D7">
            <w:pPr>
              <w:autoSpaceDE w:val="0"/>
              <w:autoSpaceDN w:val="0"/>
              <w:adjustRightInd w:val="0"/>
              <w:rPr>
                <w:rFonts w:ascii="Times New Roman" w:hAnsi="Times New Roman" w:cs="Times New Roman"/>
                <w:i/>
                <w:iCs/>
                <w:sz w:val="24"/>
                <w:szCs w:val="24"/>
              </w:rPr>
            </w:pPr>
            <w:r w:rsidRPr="0020724B">
              <w:rPr>
                <w:rFonts w:ascii="Times New Roman" w:hAnsi="Times New Roman" w:cs="Times New Roman"/>
                <w:i/>
                <w:iCs/>
                <w:sz w:val="24"/>
                <w:szCs w:val="24"/>
              </w:rPr>
              <w:t>per cent(%)</w:t>
            </w:r>
          </w:p>
          <w:p w14:paraId="50074109" w14:textId="77777777" w:rsidR="00446E3E" w:rsidRPr="0020724B" w:rsidRDefault="00446E3E" w:rsidP="008A24D7">
            <w:pPr>
              <w:autoSpaceDE w:val="0"/>
              <w:autoSpaceDN w:val="0"/>
              <w:adjustRightInd w:val="0"/>
              <w:rPr>
                <w:rFonts w:ascii="Times New Roman" w:hAnsi="Times New Roman" w:cs="Times New Roman"/>
                <w:sz w:val="24"/>
                <w:szCs w:val="24"/>
              </w:rPr>
            </w:pPr>
          </w:p>
        </w:tc>
      </w:tr>
      <w:tr w:rsidR="00446E3E" w:rsidRPr="00654A84" w14:paraId="5A28AEA6" w14:textId="77777777" w:rsidTr="008A24D7">
        <w:tc>
          <w:tcPr>
            <w:tcW w:w="3070" w:type="dxa"/>
          </w:tcPr>
          <w:p w14:paraId="3B3E0B0D" w14:textId="77777777"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Alzeimer, dementia, Parkinson's</w:t>
            </w:r>
          </w:p>
        </w:tc>
        <w:tc>
          <w:tcPr>
            <w:tcW w:w="3071" w:type="dxa"/>
          </w:tcPr>
          <w:p w14:paraId="563ABF6C"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15</w:t>
            </w:r>
          </w:p>
        </w:tc>
        <w:tc>
          <w:tcPr>
            <w:tcW w:w="3071" w:type="dxa"/>
          </w:tcPr>
          <w:p w14:paraId="26CE79F0"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51,72</w:t>
            </w:r>
          </w:p>
        </w:tc>
      </w:tr>
      <w:tr w:rsidR="00446E3E" w:rsidRPr="00654A84" w14:paraId="7BA45048" w14:textId="77777777" w:rsidTr="008A24D7">
        <w:tc>
          <w:tcPr>
            <w:tcW w:w="3070" w:type="dxa"/>
          </w:tcPr>
          <w:p w14:paraId="65C0F490" w14:textId="77777777"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Cerebrovascular disease</w:t>
            </w:r>
          </w:p>
        </w:tc>
        <w:tc>
          <w:tcPr>
            <w:tcW w:w="3071" w:type="dxa"/>
          </w:tcPr>
          <w:p w14:paraId="3673257C"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w:t>
            </w:r>
          </w:p>
        </w:tc>
        <w:tc>
          <w:tcPr>
            <w:tcW w:w="3071" w:type="dxa"/>
          </w:tcPr>
          <w:p w14:paraId="7A71D278"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20,68</w:t>
            </w:r>
          </w:p>
        </w:tc>
      </w:tr>
      <w:tr w:rsidR="00446E3E" w:rsidRPr="00654A84" w14:paraId="7A8EDFFF" w14:textId="77777777" w:rsidTr="008A24D7">
        <w:tc>
          <w:tcPr>
            <w:tcW w:w="3070" w:type="dxa"/>
          </w:tcPr>
          <w:p w14:paraId="69A8E2C0" w14:textId="77777777"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Esophageal cancer</w:t>
            </w:r>
          </w:p>
        </w:tc>
        <w:tc>
          <w:tcPr>
            <w:tcW w:w="3071" w:type="dxa"/>
          </w:tcPr>
          <w:p w14:paraId="0F0FBEB0"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tc>
        <w:tc>
          <w:tcPr>
            <w:tcW w:w="3071" w:type="dxa"/>
          </w:tcPr>
          <w:p w14:paraId="6A131EBB"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r w:rsidR="00446E3E" w:rsidRPr="00654A84" w14:paraId="5C1CE27E" w14:textId="77777777" w:rsidTr="008A24D7">
        <w:trPr>
          <w:trHeight w:val="208"/>
        </w:trPr>
        <w:tc>
          <w:tcPr>
            <w:tcW w:w="3070" w:type="dxa"/>
          </w:tcPr>
          <w:p w14:paraId="56342156" w14:textId="77777777"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Drug intoxication</w:t>
            </w:r>
          </w:p>
        </w:tc>
        <w:tc>
          <w:tcPr>
            <w:tcW w:w="3071" w:type="dxa"/>
          </w:tcPr>
          <w:p w14:paraId="28EFC912"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tc>
        <w:tc>
          <w:tcPr>
            <w:tcW w:w="3071" w:type="dxa"/>
          </w:tcPr>
          <w:p w14:paraId="12016F70"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r w:rsidR="00446E3E" w:rsidRPr="00654A84" w14:paraId="038C6357" w14:textId="77777777" w:rsidTr="008A24D7">
        <w:trPr>
          <w:trHeight w:val="207"/>
        </w:trPr>
        <w:tc>
          <w:tcPr>
            <w:tcW w:w="3070" w:type="dxa"/>
          </w:tcPr>
          <w:p w14:paraId="5B29EE90" w14:textId="77777777"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Lung cancer</w:t>
            </w:r>
          </w:p>
        </w:tc>
        <w:tc>
          <w:tcPr>
            <w:tcW w:w="3071" w:type="dxa"/>
          </w:tcPr>
          <w:p w14:paraId="72B1EEA4"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2</w:t>
            </w:r>
          </w:p>
        </w:tc>
        <w:tc>
          <w:tcPr>
            <w:tcW w:w="3071" w:type="dxa"/>
          </w:tcPr>
          <w:p w14:paraId="2F1CEBBC"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6,89</w:t>
            </w:r>
          </w:p>
        </w:tc>
      </w:tr>
      <w:tr w:rsidR="00446E3E" w:rsidRPr="00654A84" w14:paraId="616FC46A" w14:textId="77777777" w:rsidTr="008A24D7">
        <w:tc>
          <w:tcPr>
            <w:tcW w:w="3070" w:type="dxa"/>
          </w:tcPr>
          <w:p w14:paraId="3BCBC47E" w14:textId="77777777"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Hypoxic brain</w:t>
            </w:r>
          </w:p>
        </w:tc>
        <w:tc>
          <w:tcPr>
            <w:tcW w:w="3071" w:type="dxa"/>
          </w:tcPr>
          <w:p w14:paraId="133DDEFB"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1</w:t>
            </w:r>
          </w:p>
        </w:tc>
        <w:tc>
          <w:tcPr>
            <w:tcW w:w="3071" w:type="dxa"/>
          </w:tcPr>
          <w:p w14:paraId="47A0086B"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3,44</w:t>
            </w:r>
          </w:p>
        </w:tc>
      </w:tr>
      <w:tr w:rsidR="00446E3E" w:rsidRPr="00654A84" w14:paraId="3C215C4A" w14:textId="77777777" w:rsidTr="008A24D7">
        <w:tc>
          <w:tcPr>
            <w:tcW w:w="3070" w:type="dxa"/>
          </w:tcPr>
          <w:p w14:paraId="17CF04A8" w14:textId="77777777" w:rsidR="00446E3E" w:rsidRPr="00654A84" w:rsidRDefault="00446E3E" w:rsidP="008A24D7">
            <w:pPr>
              <w:autoSpaceDE w:val="0"/>
              <w:autoSpaceDN w:val="0"/>
              <w:adjustRightInd w:val="0"/>
              <w:rPr>
                <w:rFonts w:ascii="Times New Roman" w:hAnsi="Times New Roman" w:cs="Times New Roman"/>
                <w:sz w:val="24"/>
                <w:szCs w:val="24"/>
              </w:rPr>
            </w:pPr>
            <w:r w:rsidRPr="0049467D">
              <w:rPr>
                <w:rFonts w:ascii="Times New Roman" w:hAnsi="Times New Roman" w:cs="Times New Roman"/>
                <w:sz w:val="24"/>
                <w:szCs w:val="24"/>
              </w:rPr>
              <w:t>Trauma</w:t>
            </w:r>
          </w:p>
        </w:tc>
        <w:tc>
          <w:tcPr>
            <w:tcW w:w="3071" w:type="dxa"/>
          </w:tcPr>
          <w:p w14:paraId="7BF254F4"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1</w:t>
            </w:r>
          </w:p>
        </w:tc>
        <w:tc>
          <w:tcPr>
            <w:tcW w:w="3071" w:type="dxa"/>
          </w:tcPr>
          <w:p w14:paraId="1AB21020" w14:textId="77777777" w:rsidR="00446E3E" w:rsidRPr="00654A84" w:rsidRDefault="00446E3E" w:rsidP="008A24D7">
            <w:pPr>
              <w:autoSpaceDE w:val="0"/>
              <w:autoSpaceDN w:val="0"/>
              <w:adjustRightInd w:val="0"/>
              <w:rPr>
                <w:rFonts w:ascii="Times New Roman" w:hAnsi="Times New Roman" w:cs="Times New Roman"/>
                <w:sz w:val="24"/>
                <w:szCs w:val="24"/>
              </w:rPr>
            </w:pPr>
            <w:r w:rsidRPr="00654A84">
              <w:rPr>
                <w:rFonts w:ascii="Times New Roman" w:hAnsi="Times New Roman" w:cs="Times New Roman"/>
                <w:sz w:val="24"/>
                <w:szCs w:val="24"/>
              </w:rPr>
              <w:t>3,44</w:t>
            </w:r>
          </w:p>
        </w:tc>
      </w:tr>
      <w:tr w:rsidR="00446E3E" w:rsidRPr="00654A84" w14:paraId="0D2D69DF" w14:textId="77777777" w:rsidTr="008A24D7">
        <w:tc>
          <w:tcPr>
            <w:tcW w:w="3070" w:type="dxa"/>
          </w:tcPr>
          <w:p w14:paraId="66DE535B" w14:textId="77777777" w:rsidR="00446E3E" w:rsidRPr="00654A84" w:rsidRDefault="00446E3E" w:rsidP="008A24D7">
            <w:pPr>
              <w:autoSpaceDE w:val="0"/>
              <w:autoSpaceDN w:val="0"/>
              <w:adjustRightInd w:val="0"/>
              <w:rPr>
                <w:rFonts w:ascii="Times New Roman" w:hAnsi="Times New Roman" w:cs="Times New Roman"/>
                <w:sz w:val="24"/>
                <w:szCs w:val="24"/>
              </w:rPr>
            </w:pPr>
          </w:p>
        </w:tc>
        <w:tc>
          <w:tcPr>
            <w:tcW w:w="3071" w:type="dxa"/>
          </w:tcPr>
          <w:p w14:paraId="7A30A70B" w14:textId="77777777" w:rsidR="00446E3E" w:rsidRPr="00654A84" w:rsidRDefault="00446E3E" w:rsidP="008A24D7">
            <w:pPr>
              <w:autoSpaceDE w:val="0"/>
              <w:autoSpaceDN w:val="0"/>
              <w:adjustRightInd w:val="0"/>
              <w:rPr>
                <w:rFonts w:ascii="Times New Roman" w:hAnsi="Times New Roman" w:cs="Times New Roman"/>
                <w:sz w:val="24"/>
                <w:szCs w:val="24"/>
              </w:rPr>
            </w:pPr>
          </w:p>
        </w:tc>
        <w:tc>
          <w:tcPr>
            <w:tcW w:w="3071" w:type="dxa"/>
          </w:tcPr>
          <w:p w14:paraId="37853ACC" w14:textId="77777777" w:rsidR="00446E3E" w:rsidRPr="00654A84" w:rsidRDefault="00446E3E" w:rsidP="008A24D7">
            <w:pPr>
              <w:autoSpaceDE w:val="0"/>
              <w:autoSpaceDN w:val="0"/>
              <w:adjustRightInd w:val="0"/>
              <w:rPr>
                <w:rFonts w:ascii="Times New Roman" w:hAnsi="Times New Roman" w:cs="Times New Roman"/>
                <w:sz w:val="24"/>
                <w:szCs w:val="24"/>
              </w:rPr>
            </w:pPr>
          </w:p>
        </w:tc>
      </w:tr>
    </w:tbl>
    <w:p w14:paraId="2243479C"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14:paraId="0A1EFCF9"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14:paraId="61DB9301"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p>
    <w:p w14:paraId="3FA37032" w14:textId="77777777" w:rsidR="00446E3E" w:rsidRPr="00654A84" w:rsidRDefault="00446E3E" w:rsidP="00446E3E">
      <w:pPr>
        <w:autoSpaceDE w:val="0"/>
        <w:autoSpaceDN w:val="0"/>
        <w:adjustRightInd w:val="0"/>
        <w:spacing w:after="0" w:line="240" w:lineRule="auto"/>
        <w:rPr>
          <w:rFonts w:ascii="Times New Roman" w:hAnsi="Times New Roman" w:cs="Times New Roman"/>
          <w:sz w:val="24"/>
          <w:szCs w:val="24"/>
        </w:rPr>
      </w:pPr>
      <w:r w:rsidRPr="00654A84">
        <w:rPr>
          <w:rFonts w:ascii="Times New Roman" w:hAnsi="Times New Roman" w:cs="Times New Roman"/>
          <w:sz w:val="24"/>
          <w:szCs w:val="24"/>
        </w:rPr>
        <w:t xml:space="preserve"> </w:t>
      </w:r>
    </w:p>
    <w:p w14:paraId="7C13F80A" w14:textId="77777777" w:rsidR="00446E3E" w:rsidRPr="00654A84" w:rsidRDefault="00446E3E" w:rsidP="00446E3E">
      <w:pPr>
        <w:autoSpaceDE w:val="0"/>
        <w:autoSpaceDN w:val="0"/>
        <w:adjustRightInd w:val="0"/>
        <w:spacing w:after="0" w:line="480" w:lineRule="auto"/>
        <w:jc w:val="both"/>
        <w:rPr>
          <w:rFonts w:ascii="Times New Roman" w:hAnsi="Times New Roman" w:cs="Times New Roman"/>
          <w:b/>
          <w:bCs/>
          <w:i/>
          <w:iCs/>
          <w:sz w:val="24"/>
          <w:szCs w:val="24"/>
        </w:rPr>
      </w:pPr>
      <w:r w:rsidRPr="00654A84">
        <w:rPr>
          <w:rFonts w:ascii="Times New Roman" w:hAnsi="Times New Roman" w:cs="Times New Roman"/>
          <w:b/>
          <w:bCs/>
          <w:sz w:val="24"/>
          <w:szCs w:val="24"/>
        </w:rPr>
        <w:t xml:space="preserve"> </w:t>
      </w:r>
      <w:r w:rsidRPr="0049467D">
        <w:rPr>
          <w:rFonts w:ascii="Times New Roman" w:hAnsi="Times New Roman" w:cs="Times New Roman"/>
          <w:b/>
          <w:bCs/>
          <w:sz w:val="24"/>
          <w:szCs w:val="24"/>
        </w:rPr>
        <w:t>Table 3. Complications Early and Late Period</w:t>
      </w:r>
    </w:p>
    <w:tbl>
      <w:tblPr>
        <w:tblStyle w:val="TableGrid"/>
        <w:tblW w:w="0" w:type="auto"/>
        <w:tblLook w:val="04A0" w:firstRow="1" w:lastRow="0" w:firstColumn="1" w:lastColumn="0" w:noHBand="0" w:noVBand="1"/>
      </w:tblPr>
      <w:tblGrid>
        <w:gridCol w:w="2303"/>
        <w:gridCol w:w="2303"/>
        <w:gridCol w:w="2303"/>
        <w:gridCol w:w="2303"/>
      </w:tblGrid>
      <w:tr w:rsidR="00446E3E" w:rsidRPr="00654A84" w14:paraId="69ACBF0F" w14:textId="77777777" w:rsidTr="008A24D7">
        <w:tc>
          <w:tcPr>
            <w:tcW w:w="2303" w:type="dxa"/>
          </w:tcPr>
          <w:p w14:paraId="251F9B95" w14:textId="77777777" w:rsidR="00446E3E" w:rsidRPr="0020724B" w:rsidRDefault="00446E3E" w:rsidP="008A24D7">
            <w:pPr>
              <w:autoSpaceDE w:val="0"/>
              <w:autoSpaceDN w:val="0"/>
              <w:adjustRightInd w:val="0"/>
              <w:rPr>
                <w:rFonts w:ascii="Times New Roman" w:hAnsi="Times New Roman" w:cs="Times New Roman"/>
                <w:b/>
                <w:bCs/>
                <w:color w:val="000000"/>
                <w:sz w:val="24"/>
                <w:szCs w:val="24"/>
              </w:rPr>
            </w:pPr>
            <w:r w:rsidRPr="0020724B">
              <w:rPr>
                <w:rFonts w:ascii="Times New Roman" w:hAnsi="Times New Roman" w:cs="Times New Roman"/>
                <w:b/>
                <w:bCs/>
                <w:color w:val="000000"/>
                <w:sz w:val="24"/>
                <w:szCs w:val="24"/>
              </w:rPr>
              <w:t>Complication</w:t>
            </w:r>
          </w:p>
        </w:tc>
        <w:tc>
          <w:tcPr>
            <w:tcW w:w="2303" w:type="dxa"/>
          </w:tcPr>
          <w:p w14:paraId="48A07806"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AD3F4F">
              <w:rPr>
                <w:rFonts w:ascii="Times New Roman" w:hAnsi="Times New Roman" w:cs="Times New Roman"/>
                <w:b/>
                <w:bCs/>
                <w:sz w:val="24"/>
                <w:szCs w:val="24"/>
              </w:rPr>
              <w:t>Early Period (Duration of hospitalisation)/</w:t>
            </w:r>
            <w:r w:rsidRPr="00AD3F4F">
              <w:rPr>
                <w:rFonts w:ascii="Times New Roman" w:hAnsi="Times New Roman" w:cs="Times New Roman"/>
                <w:sz w:val="24"/>
                <w:szCs w:val="24"/>
              </w:rPr>
              <w:t xml:space="preserve"> Number</w:t>
            </w:r>
            <w:r>
              <w:rPr>
                <w:rFonts w:ascii="Times New Roman" w:hAnsi="Times New Roman" w:cs="Times New Roman"/>
                <w:sz w:val="24"/>
                <w:szCs w:val="24"/>
              </w:rPr>
              <w:t>(</w:t>
            </w:r>
            <w:r w:rsidRPr="00654A84">
              <w:rPr>
                <w:rFonts w:ascii="Times New Roman" w:hAnsi="Times New Roman" w:cs="Times New Roman"/>
                <w:sz w:val="24"/>
                <w:szCs w:val="24"/>
              </w:rPr>
              <w:t>n</w:t>
            </w:r>
            <w:r>
              <w:rPr>
                <w:rFonts w:ascii="Times New Roman" w:hAnsi="Times New Roman" w:cs="Times New Roman"/>
                <w:sz w:val="24"/>
                <w:szCs w:val="24"/>
              </w:rPr>
              <w:t>)</w:t>
            </w:r>
          </w:p>
        </w:tc>
        <w:tc>
          <w:tcPr>
            <w:tcW w:w="2303" w:type="dxa"/>
          </w:tcPr>
          <w:p w14:paraId="4F29504D"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AD3F4F">
              <w:rPr>
                <w:rFonts w:ascii="Times New Roman" w:hAnsi="Times New Roman" w:cs="Times New Roman"/>
                <w:b/>
                <w:bCs/>
                <w:sz w:val="24"/>
                <w:szCs w:val="24"/>
              </w:rPr>
              <w:t>Late Period (Post-discharge)/</w:t>
            </w:r>
            <w:r w:rsidRPr="00AD3F4F">
              <w:rPr>
                <w:rFonts w:ascii="Times New Roman" w:hAnsi="Times New Roman" w:cs="Times New Roman"/>
                <w:sz w:val="24"/>
                <w:szCs w:val="24"/>
              </w:rPr>
              <w:t xml:space="preserve"> Number</w:t>
            </w:r>
            <w:r>
              <w:rPr>
                <w:rFonts w:ascii="Times New Roman" w:hAnsi="Times New Roman" w:cs="Times New Roman"/>
                <w:sz w:val="24"/>
                <w:szCs w:val="24"/>
              </w:rPr>
              <w:t>(</w:t>
            </w:r>
            <w:r w:rsidRPr="00654A84">
              <w:rPr>
                <w:rFonts w:ascii="Times New Roman" w:hAnsi="Times New Roman" w:cs="Times New Roman"/>
                <w:sz w:val="24"/>
                <w:szCs w:val="24"/>
              </w:rPr>
              <w:t>n</w:t>
            </w:r>
            <w:r>
              <w:rPr>
                <w:rFonts w:ascii="Times New Roman" w:hAnsi="Times New Roman" w:cs="Times New Roman"/>
                <w:sz w:val="24"/>
                <w:szCs w:val="24"/>
              </w:rPr>
              <w:t>)</w:t>
            </w:r>
          </w:p>
        </w:tc>
        <w:tc>
          <w:tcPr>
            <w:tcW w:w="2303" w:type="dxa"/>
          </w:tcPr>
          <w:p w14:paraId="7EFA76CE" w14:textId="77777777" w:rsidR="00446E3E" w:rsidRPr="00AD3F4F" w:rsidRDefault="00446E3E" w:rsidP="008A24D7">
            <w:pPr>
              <w:autoSpaceDE w:val="0"/>
              <w:autoSpaceDN w:val="0"/>
              <w:adjustRightInd w:val="0"/>
              <w:rPr>
                <w:rFonts w:ascii="Times New Roman" w:hAnsi="Times New Roman" w:cs="Times New Roman"/>
                <w:b/>
                <w:bCs/>
                <w:i/>
                <w:iCs/>
                <w:sz w:val="24"/>
                <w:szCs w:val="24"/>
              </w:rPr>
            </w:pPr>
            <w:r w:rsidRPr="00AD3F4F">
              <w:rPr>
                <w:rFonts w:ascii="Times New Roman" w:hAnsi="Times New Roman" w:cs="Times New Roman"/>
                <w:b/>
                <w:bCs/>
                <w:i/>
                <w:iCs/>
                <w:sz w:val="24"/>
                <w:szCs w:val="24"/>
              </w:rPr>
              <w:t>per cent</w:t>
            </w:r>
            <w:r>
              <w:rPr>
                <w:rFonts w:ascii="Times New Roman" w:hAnsi="Times New Roman" w:cs="Times New Roman"/>
                <w:b/>
                <w:bCs/>
                <w:i/>
                <w:iCs/>
                <w:sz w:val="24"/>
                <w:szCs w:val="24"/>
              </w:rPr>
              <w:t>(</w:t>
            </w:r>
            <w:r w:rsidRPr="00654A84">
              <w:rPr>
                <w:rFonts w:ascii="Times New Roman" w:hAnsi="Times New Roman" w:cs="Times New Roman"/>
                <w:b/>
                <w:bCs/>
                <w:i/>
                <w:iCs/>
                <w:sz w:val="24"/>
                <w:szCs w:val="24"/>
              </w:rPr>
              <w:t>%</w:t>
            </w:r>
            <w:r>
              <w:rPr>
                <w:rFonts w:ascii="Times New Roman" w:hAnsi="Times New Roman" w:cs="Times New Roman"/>
                <w:b/>
                <w:bCs/>
                <w:i/>
                <w:iCs/>
                <w:sz w:val="24"/>
                <w:szCs w:val="24"/>
              </w:rPr>
              <w:t>)</w:t>
            </w:r>
          </w:p>
        </w:tc>
      </w:tr>
      <w:tr w:rsidR="00446E3E" w:rsidRPr="00654A84" w14:paraId="43F10C79" w14:textId="77777777" w:rsidTr="008A24D7">
        <w:tc>
          <w:tcPr>
            <w:tcW w:w="2303" w:type="dxa"/>
          </w:tcPr>
          <w:p w14:paraId="232A96F7"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49467D">
              <w:rPr>
                <w:rFonts w:ascii="Times New Roman" w:hAnsi="Times New Roman" w:cs="Times New Roman"/>
                <w:sz w:val="24"/>
                <w:szCs w:val="24"/>
              </w:rPr>
              <w:t>Periostomal infection</w:t>
            </w:r>
          </w:p>
        </w:tc>
        <w:tc>
          <w:tcPr>
            <w:tcW w:w="2303" w:type="dxa"/>
          </w:tcPr>
          <w:p w14:paraId="33EE4684"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1</w:t>
            </w:r>
          </w:p>
        </w:tc>
        <w:tc>
          <w:tcPr>
            <w:tcW w:w="2303" w:type="dxa"/>
          </w:tcPr>
          <w:p w14:paraId="5714060D"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p>
        </w:tc>
        <w:tc>
          <w:tcPr>
            <w:tcW w:w="2303" w:type="dxa"/>
            <w:vMerge w:val="restart"/>
          </w:tcPr>
          <w:p w14:paraId="3639013B"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6,89</w:t>
            </w:r>
          </w:p>
        </w:tc>
      </w:tr>
      <w:tr w:rsidR="00446E3E" w:rsidRPr="00654A84" w14:paraId="79FF4E0D" w14:textId="77777777" w:rsidTr="008A24D7">
        <w:tc>
          <w:tcPr>
            <w:tcW w:w="2303" w:type="dxa"/>
          </w:tcPr>
          <w:p w14:paraId="11786835"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AD3F4F">
              <w:rPr>
                <w:rFonts w:ascii="Times New Roman" w:hAnsi="Times New Roman" w:cs="Times New Roman"/>
                <w:sz w:val="24"/>
                <w:szCs w:val="24"/>
              </w:rPr>
              <w:t>Periostomal bleeding</w:t>
            </w:r>
          </w:p>
        </w:tc>
        <w:tc>
          <w:tcPr>
            <w:tcW w:w="2303" w:type="dxa"/>
          </w:tcPr>
          <w:p w14:paraId="53428275"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1</w:t>
            </w:r>
          </w:p>
        </w:tc>
        <w:tc>
          <w:tcPr>
            <w:tcW w:w="2303" w:type="dxa"/>
          </w:tcPr>
          <w:p w14:paraId="3993AE1A"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p>
        </w:tc>
        <w:tc>
          <w:tcPr>
            <w:tcW w:w="2303" w:type="dxa"/>
            <w:vMerge/>
          </w:tcPr>
          <w:p w14:paraId="718AEEFD"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p>
        </w:tc>
      </w:tr>
      <w:tr w:rsidR="00446E3E" w:rsidRPr="00654A84" w14:paraId="725C3E57" w14:textId="77777777" w:rsidTr="008A24D7">
        <w:tc>
          <w:tcPr>
            <w:tcW w:w="2303" w:type="dxa"/>
          </w:tcPr>
          <w:p w14:paraId="52624986"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AD3F4F">
              <w:rPr>
                <w:rFonts w:ascii="Times New Roman" w:hAnsi="Times New Roman" w:cs="Times New Roman"/>
                <w:sz w:val="24"/>
                <w:szCs w:val="24"/>
              </w:rPr>
              <w:t>Tube obstruction</w:t>
            </w:r>
          </w:p>
        </w:tc>
        <w:tc>
          <w:tcPr>
            <w:tcW w:w="2303" w:type="dxa"/>
          </w:tcPr>
          <w:p w14:paraId="1FAB7CD0"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p>
        </w:tc>
        <w:tc>
          <w:tcPr>
            <w:tcW w:w="2303" w:type="dxa"/>
          </w:tcPr>
          <w:p w14:paraId="10DFF6F4"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1</w:t>
            </w:r>
          </w:p>
        </w:tc>
        <w:tc>
          <w:tcPr>
            <w:tcW w:w="2303" w:type="dxa"/>
            <w:vMerge w:val="restart"/>
          </w:tcPr>
          <w:p w14:paraId="7B11BBBD"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6,89</w:t>
            </w:r>
          </w:p>
        </w:tc>
      </w:tr>
      <w:tr w:rsidR="00446E3E" w:rsidRPr="00654A84" w14:paraId="16E501F2" w14:textId="77777777" w:rsidTr="008A24D7">
        <w:tc>
          <w:tcPr>
            <w:tcW w:w="2303" w:type="dxa"/>
          </w:tcPr>
          <w:p w14:paraId="57D07309"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AD3F4F">
              <w:rPr>
                <w:rFonts w:ascii="Times New Roman" w:hAnsi="Times New Roman" w:cs="Times New Roman"/>
                <w:sz w:val="24"/>
                <w:szCs w:val="24"/>
              </w:rPr>
              <w:t>Dislocation of the tube, leakage</w:t>
            </w:r>
          </w:p>
        </w:tc>
        <w:tc>
          <w:tcPr>
            <w:tcW w:w="2303" w:type="dxa"/>
          </w:tcPr>
          <w:p w14:paraId="72D9FB9B"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p>
        </w:tc>
        <w:tc>
          <w:tcPr>
            <w:tcW w:w="2303" w:type="dxa"/>
          </w:tcPr>
          <w:p w14:paraId="2F965342"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r w:rsidRPr="00654A84">
              <w:rPr>
                <w:rFonts w:ascii="Times New Roman" w:hAnsi="Times New Roman" w:cs="Times New Roman"/>
                <w:color w:val="000000"/>
                <w:sz w:val="24"/>
                <w:szCs w:val="24"/>
              </w:rPr>
              <w:t>1</w:t>
            </w:r>
          </w:p>
        </w:tc>
        <w:tc>
          <w:tcPr>
            <w:tcW w:w="2303" w:type="dxa"/>
            <w:vMerge/>
          </w:tcPr>
          <w:p w14:paraId="3504DED3" w14:textId="77777777" w:rsidR="00446E3E" w:rsidRPr="00654A84" w:rsidRDefault="00446E3E" w:rsidP="008A24D7">
            <w:pPr>
              <w:autoSpaceDE w:val="0"/>
              <w:autoSpaceDN w:val="0"/>
              <w:adjustRightInd w:val="0"/>
              <w:rPr>
                <w:rFonts w:ascii="Times New Roman" w:hAnsi="Times New Roman" w:cs="Times New Roman"/>
                <w:color w:val="000000"/>
                <w:sz w:val="24"/>
                <w:szCs w:val="24"/>
              </w:rPr>
            </w:pPr>
          </w:p>
        </w:tc>
      </w:tr>
    </w:tbl>
    <w:p w14:paraId="6A886AB7" w14:textId="77777777" w:rsidR="00446E3E" w:rsidRPr="00654A84" w:rsidRDefault="00446E3E" w:rsidP="00446E3E">
      <w:pPr>
        <w:autoSpaceDE w:val="0"/>
        <w:autoSpaceDN w:val="0"/>
        <w:adjustRightInd w:val="0"/>
        <w:spacing w:after="0" w:line="240" w:lineRule="auto"/>
        <w:rPr>
          <w:rFonts w:ascii="Times New Roman" w:hAnsi="Times New Roman" w:cs="Times New Roman"/>
          <w:color w:val="000000"/>
          <w:sz w:val="24"/>
          <w:szCs w:val="24"/>
        </w:rPr>
      </w:pPr>
    </w:p>
    <w:p w14:paraId="0E72EB77" w14:textId="77777777" w:rsidR="00446E3E" w:rsidRPr="00654A84" w:rsidRDefault="00446E3E" w:rsidP="00446E3E">
      <w:pPr>
        <w:rPr>
          <w:rFonts w:ascii="Times New Roman" w:hAnsi="Times New Roman" w:cs="Times New Roman"/>
          <w:i/>
          <w:iCs/>
          <w:sz w:val="24"/>
          <w:szCs w:val="24"/>
        </w:rPr>
      </w:pPr>
    </w:p>
    <w:p w14:paraId="69BFE6CE" w14:textId="77777777" w:rsidR="00446E3E" w:rsidRPr="00654A84" w:rsidRDefault="00446E3E" w:rsidP="00446E3E">
      <w:pPr>
        <w:autoSpaceDE w:val="0"/>
        <w:autoSpaceDN w:val="0"/>
        <w:adjustRightInd w:val="0"/>
        <w:spacing w:after="0" w:line="240" w:lineRule="auto"/>
        <w:jc w:val="both"/>
        <w:rPr>
          <w:rFonts w:ascii="Times New Roman" w:hAnsi="Times New Roman" w:cs="Times New Roman"/>
          <w:sz w:val="24"/>
          <w:szCs w:val="24"/>
        </w:rPr>
      </w:pPr>
    </w:p>
    <w:p w14:paraId="02065DFB" w14:textId="77777777" w:rsidR="00446E3E" w:rsidRPr="00654A84" w:rsidRDefault="00446E3E" w:rsidP="00446E3E">
      <w:pPr>
        <w:autoSpaceDE w:val="0"/>
        <w:autoSpaceDN w:val="0"/>
        <w:adjustRightInd w:val="0"/>
        <w:spacing w:after="0" w:line="240" w:lineRule="auto"/>
        <w:jc w:val="both"/>
        <w:rPr>
          <w:rFonts w:ascii="Times New Roman" w:hAnsi="Times New Roman" w:cs="Times New Roman"/>
          <w:sz w:val="24"/>
          <w:szCs w:val="24"/>
        </w:rPr>
      </w:pPr>
    </w:p>
    <w:p w14:paraId="4950244D" w14:textId="77777777" w:rsidR="00446E3E" w:rsidRPr="00654A84" w:rsidRDefault="00446E3E" w:rsidP="00446E3E">
      <w:pPr>
        <w:spacing w:line="480" w:lineRule="auto"/>
        <w:jc w:val="both"/>
        <w:rPr>
          <w:rStyle w:val="A1"/>
          <w:rFonts w:ascii="Times New Roman" w:hAnsi="Times New Roman" w:cs="Times New Roman"/>
          <w:b/>
          <w:sz w:val="24"/>
          <w:szCs w:val="24"/>
        </w:rPr>
      </w:pPr>
      <w:r w:rsidRPr="00654A84">
        <w:rPr>
          <w:rStyle w:val="A1"/>
          <w:rFonts w:ascii="Times New Roman" w:hAnsi="Times New Roman" w:cs="Times New Roman"/>
          <w:b/>
          <w:sz w:val="24"/>
          <w:szCs w:val="24"/>
        </w:rPr>
        <w:t>DISCUSSION</w:t>
      </w:r>
    </w:p>
    <w:p w14:paraId="228D67B5" w14:textId="77777777"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sidRPr="00CF3580">
        <w:rPr>
          <w:rFonts w:ascii="Times New Roman" w:hAnsi="Times New Roman" w:cs="Times New Roman"/>
          <w:color w:val="000000"/>
          <w:sz w:val="24"/>
          <w:szCs w:val="24"/>
        </w:rPr>
        <w:t xml:space="preserve">Long-term percutaneous enteral feeding is used in patients with life expectancy who have no chance of returning to oral feeding. Parenteral nutrition is generally not preferred in such cases due to a number of shortcomings including the associated metabolic disorders, high cost, difficulty of application, as well as patient comfort.  </w:t>
      </w:r>
      <w:r w:rsidRPr="00CF3580">
        <w:rPr>
          <w:rFonts w:ascii="Times New Roman" w:hAnsi="Times New Roman" w:cs="Times New Roman"/>
          <w:sz w:val="24"/>
          <w:szCs w:val="24"/>
        </w:rPr>
        <w:t>In studies comparing parenteral nutrition with enteral nutrition, it has been reported that parenteral nutrition causes more complications than enteral nutrition and its cost is 7 times higher (9,10,11).</w:t>
      </w:r>
      <w:r>
        <w:rPr>
          <w:rFonts w:ascii="Times New Roman" w:hAnsi="Times New Roman" w:cs="Times New Roman"/>
          <w:sz w:val="24"/>
          <w:szCs w:val="24"/>
        </w:rPr>
        <w:t xml:space="preserve"> </w:t>
      </w:r>
      <w:r w:rsidRPr="00CF3580">
        <w:rPr>
          <w:rFonts w:ascii="Times New Roman" w:hAnsi="Times New Roman" w:cs="Times New Roman"/>
          <w:sz w:val="24"/>
          <w:szCs w:val="24"/>
        </w:rPr>
        <w:t xml:space="preserve">There are studies </w:t>
      </w:r>
      <w:r w:rsidRPr="00CF3580">
        <w:rPr>
          <w:rFonts w:ascii="Times New Roman" w:hAnsi="Times New Roman" w:cs="Times New Roman"/>
          <w:sz w:val="24"/>
          <w:szCs w:val="24"/>
        </w:rPr>
        <w:lastRenderedPageBreak/>
        <w:t xml:space="preserve">showing the superiority of PEG method among enteral nutrition methods. </w:t>
      </w:r>
      <w:r w:rsidRPr="0024402C">
        <w:rPr>
          <w:rFonts w:ascii="Times New Roman" w:hAnsi="Times New Roman" w:cs="Times New Roman"/>
          <w:sz w:val="24"/>
          <w:szCs w:val="24"/>
        </w:rPr>
        <w:t>In a study by Tabrizi et al. comparing nasogastric (NG) tube and percutaneous endoscopic gastrostomy (PEG), which are enteral feeding methods, it was reported that postoperative infections and mean weight loss were higher in patients with NG tube insertion (12).</w:t>
      </w:r>
      <w:r w:rsidRPr="007C11D5">
        <w:t xml:space="preserve"> </w:t>
      </w:r>
      <w:r w:rsidRPr="007C11D5">
        <w:rPr>
          <w:rFonts w:ascii="Times New Roman" w:hAnsi="Times New Roman" w:cs="Times New Roman"/>
          <w:sz w:val="24"/>
          <w:szCs w:val="24"/>
        </w:rPr>
        <w:t>Therefore, PEG is preferred over other feeding methods in cases where nutritional support is expected to last longer than 2-3 weeks (11,12).</w:t>
      </w:r>
      <w:r w:rsidRPr="003059C3">
        <w:rPr>
          <w:rFonts w:cs="Garamond Three Tr"/>
          <w:color w:val="000000"/>
          <w:sz w:val="20"/>
          <w:szCs w:val="20"/>
        </w:rPr>
        <w:t xml:space="preserve"> </w:t>
      </w:r>
      <w:r w:rsidRPr="007C11D5">
        <w:rPr>
          <w:rFonts w:ascii="Times New Roman" w:hAnsi="Times New Roman" w:cs="Times New Roman"/>
          <w:color w:val="000000"/>
          <w:sz w:val="24"/>
          <w:szCs w:val="24"/>
        </w:rPr>
        <w:t>In the late 1980s, PEG procedures gained widespread acceptance, with increasingly higher popularity since then, mainly based on the rapidity and safety of the procedure compared with other surgical approaches</w:t>
      </w:r>
      <w:r>
        <w:rPr>
          <w:rFonts w:ascii="Times New Roman" w:hAnsi="Times New Roman" w:cs="Times New Roman"/>
          <w:color w:val="000000"/>
          <w:sz w:val="24"/>
          <w:szCs w:val="24"/>
        </w:rPr>
        <w:t>(13</w:t>
      </w:r>
      <w:r w:rsidRPr="007C11D5">
        <w:rPr>
          <w:rFonts w:ascii="Times New Roman" w:hAnsi="Times New Roman" w:cs="Times New Roman"/>
          <w:color w:val="000000"/>
          <w:sz w:val="24"/>
          <w:szCs w:val="24"/>
        </w:rPr>
        <w:t>).</w:t>
      </w:r>
    </w:p>
    <w:p w14:paraId="25D04B0B" w14:textId="77777777" w:rsidR="00446E3E" w:rsidRDefault="00446E3E" w:rsidP="00446E3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various techniques for percutaneous endoscopic gastrostomy placement, including Push (Sacks-vine), Pull (Ponksy) and Introducer (Russell) (9,13). </w:t>
      </w:r>
    </w:p>
    <w:p w14:paraId="42DBB8FE" w14:textId="77777777"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Push (Sacks-vine, push); </w:t>
      </w:r>
      <w:bookmarkStart w:id="6" w:name="_Hlk167969949"/>
      <w:r>
        <w:rPr>
          <w:rFonts w:ascii="Times New Roman" w:hAnsi="Times New Roman" w:cs="Times New Roman"/>
          <w:sz w:val="24"/>
          <w:szCs w:val="24"/>
        </w:rPr>
        <w:t xml:space="preserve">A guide wire </w:t>
      </w:r>
      <w:bookmarkEnd w:id="6"/>
      <w:r>
        <w:rPr>
          <w:rFonts w:ascii="Times New Roman" w:hAnsi="Times New Roman" w:cs="Times New Roman"/>
          <w:sz w:val="24"/>
          <w:szCs w:val="24"/>
        </w:rPr>
        <w:t xml:space="preserve">is placed into the stomach and pulled through the mouth with an endoscope. The feeding tube is pushed into the stomach and into the puncture area over the guide wire. </w:t>
      </w:r>
    </w:p>
    <w:p w14:paraId="0254B381" w14:textId="77777777"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Pull (Ponksy, pull); A guide wire is inserted into the stomach through a needle in the abdominal wall, attached with endoscopic biopsy forceps, and removed through the esophagus and mouth. It is then secured to the outer end of the feeding tube, and the tube is withdrawn through the mouth, into the esophagus, into the stomach, and then out through the abdominal wall. </w:t>
      </w:r>
    </w:p>
    <w:p w14:paraId="06771D6E" w14:textId="77777777"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Introducer (Russell); Using an endoscope, the balloon-type tube is inserted directly through the abdominal wall with the help of a guide. It is fixed by filling the tube balloon with 5 ml of physiological saline(13-18). The most frequently preferred technique and the one we use is the Pull technique.</w:t>
      </w:r>
    </w:p>
    <w:p w14:paraId="22B0B5F8" w14:textId="77777777"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PEG use is contraindicated include serious coagulation disorders (INR&gt;1.5, platelet level 50,000/mm3 and PTT&gt;50 sec), peritonitis, anorexia nervosa, severe psychosis, short life </w:t>
      </w:r>
      <w:r>
        <w:rPr>
          <w:rFonts w:ascii="Times New Roman" w:hAnsi="Times New Roman" w:cs="Times New Roman"/>
          <w:sz w:val="24"/>
          <w:szCs w:val="24"/>
        </w:rPr>
        <w:lastRenderedPageBreak/>
        <w:t>expectancy, gastric varicose veins, gastrectomy, massive ascites, portal hypertension, peritoneal dialysis, pregnancy (for under 29 weeks) and obesity(11,13,14).</w:t>
      </w:r>
    </w:p>
    <w:p w14:paraId="7041AD9E" w14:textId="77777777"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no consensus in the literature about the time and type of feeding after the PEG procedure. There are studies that recommend starting nutrition within 12-24 hours after Peg procedure(11,19-22).</w:t>
      </w:r>
      <w:r w:rsidRPr="00B64B09">
        <w:rPr>
          <w:rFonts w:ascii="Times New Roman" w:hAnsi="Times New Roman" w:cs="Times New Roman"/>
          <w:sz w:val="24"/>
          <w:szCs w:val="24"/>
        </w:rPr>
        <w:t xml:space="preserve"> </w:t>
      </w:r>
      <w:r w:rsidRPr="006A3EE4">
        <w:rPr>
          <w:rFonts w:ascii="Times New Roman" w:hAnsi="Times New Roman" w:cs="Times New Roman"/>
          <w:sz w:val="24"/>
          <w:szCs w:val="24"/>
        </w:rPr>
        <w:t xml:space="preserve">In </w:t>
      </w:r>
      <w:r>
        <w:rPr>
          <w:rFonts w:ascii="Times New Roman" w:hAnsi="Times New Roman" w:cs="Times New Roman"/>
          <w:sz w:val="24"/>
          <w:szCs w:val="24"/>
        </w:rPr>
        <w:t>this</w:t>
      </w:r>
      <w:r w:rsidRPr="006A3EE4">
        <w:rPr>
          <w:rFonts w:ascii="Times New Roman" w:hAnsi="Times New Roman" w:cs="Times New Roman"/>
          <w:sz w:val="24"/>
          <w:szCs w:val="24"/>
        </w:rPr>
        <w:t xml:space="preserve"> study, 20 cc of water was given through the tube 12 hours after the procedure and enteral nutrition was started 12 hours later when no leakage around the tube was observed</w:t>
      </w:r>
      <w:r>
        <w:rPr>
          <w:rFonts w:ascii="Times New Roman" w:hAnsi="Times New Roman" w:cs="Times New Roman"/>
          <w:sz w:val="24"/>
          <w:szCs w:val="24"/>
        </w:rPr>
        <w:t>.</w:t>
      </w:r>
    </w:p>
    <w:p w14:paraId="22AE82BE" w14:textId="77777777" w:rsidR="00446E3E" w:rsidRPr="008928F6" w:rsidRDefault="00446E3E" w:rsidP="00446E3E">
      <w:pPr>
        <w:autoSpaceDE w:val="0"/>
        <w:autoSpaceDN w:val="0"/>
        <w:adjustRightInd w:val="0"/>
        <w:spacing w:after="0" w:line="480" w:lineRule="auto"/>
        <w:jc w:val="both"/>
        <w:rPr>
          <w:rFonts w:ascii="Times New Roman" w:hAnsi="Times New Roman" w:cs="Times New Roman"/>
          <w:sz w:val="24"/>
          <w:szCs w:val="24"/>
        </w:rPr>
      </w:pPr>
      <w:r w:rsidRPr="008928F6">
        <w:rPr>
          <w:rFonts w:ascii="Times New Roman" w:hAnsi="Times New Roman" w:cs="Times New Roman"/>
          <w:sz w:val="24"/>
          <w:szCs w:val="24"/>
        </w:rPr>
        <w:t xml:space="preserve">PEG-related mortality has been reported to be below 1% (23). Mortality rates in the 30 days after the procedure have been reported as 8-20% in some series and 10-26.8% in others (24-26). In our study, no procedure-related mortality was observed. </w:t>
      </w:r>
    </w:p>
    <w:p w14:paraId="1BDA8A51" w14:textId="77777777"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sidRPr="008928F6">
        <w:rPr>
          <w:rFonts w:ascii="Times New Roman" w:hAnsi="Times New Roman" w:cs="Times New Roman"/>
          <w:sz w:val="24"/>
          <w:szCs w:val="24"/>
        </w:rPr>
        <w:t xml:space="preserve">It is most commonly performed in anesthesia and reanimation and neurology clinics. In a series of 198 studies, 75.3% of patients with PEG procedures were reported to have cerebrovascular disease(27). Another study by Alper et al. reported that 86.6% of patients had cerebrovascular disease(28). In another study by Tuncer et al. 36.7% of patients were consulted from anesthesia and reanimation, 16.3% from radiation oncology, 14.3% from neurosurgery and 12.2% from gastroenterology clinics (29). In our study, 48% of the patients were consulted from anesthesia and reanimation and 32.8% from neurology clinics. </w:t>
      </w:r>
      <w:r w:rsidRPr="0049467D">
        <w:rPr>
          <w:rFonts w:ascii="Times New Roman" w:hAnsi="Times New Roman" w:cs="Times New Roman"/>
          <w:sz w:val="24"/>
          <w:szCs w:val="24"/>
        </w:rPr>
        <w:t>Alzeimer, dementia, Parkinson's</w:t>
      </w:r>
      <w:r w:rsidRPr="005C6DF4">
        <w:rPr>
          <w:rFonts w:ascii="Times New Roman" w:hAnsi="Times New Roman" w:cs="Times New Roman"/>
          <w:sz w:val="24"/>
          <w:szCs w:val="24"/>
        </w:rPr>
        <w:t xml:space="preserve"> diseases were the most common etiologies</w:t>
      </w:r>
      <w:r>
        <w:rPr>
          <w:rFonts w:ascii="Times New Roman" w:hAnsi="Times New Roman" w:cs="Times New Roman"/>
          <w:sz w:val="24"/>
          <w:szCs w:val="24"/>
        </w:rPr>
        <w:t>(</w:t>
      </w:r>
      <w:r w:rsidRPr="00654A84">
        <w:rPr>
          <w:rFonts w:ascii="Times New Roman" w:hAnsi="Times New Roman" w:cs="Times New Roman"/>
          <w:sz w:val="24"/>
          <w:szCs w:val="24"/>
        </w:rPr>
        <w:t>51,72</w:t>
      </w:r>
      <w:r w:rsidRPr="008928F6">
        <w:rPr>
          <w:rFonts w:ascii="Times New Roman" w:hAnsi="Times New Roman" w:cs="Times New Roman"/>
          <w:sz w:val="24"/>
          <w:szCs w:val="24"/>
        </w:rPr>
        <w:t>%</w:t>
      </w:r>
      <w:r>
        <w:rPr>
          <w:rFonts w:ascii="Times New Roman" w:hAnsi="Times New Roman" w:cs="Times New Roman"/>
          <w:sz w:val="24"/>
          <w:szCs w:val="24"/>
        </w:rPr>
        <w:t>)</w:t>
      </w:r>
      <w:r w:rsidRPr="005C6DF4">
        <w:rPr>
          <w:rFonts w:ascii="Times New Roman" w:hAnsi="Times New Roman" w:cs="Times New Roman"/>
          <w:sz w:val="24"/>
          <w:szCs w:val="24"/>
        </w:rPr>
        <w:t>.</w:t>
      </w:r>
    </w:p>
    <w:p w14:paraId="29F9105B" w14:textId="77777777" w:rsidR="00446E3E" w:rsidRPr="008928F6" w:rsidRDefault="00446E3E" w:rsidP="00446E3E">
      <w:pPr>
        <w:autoSpaceDE w:val="0"/>
        <w:autoSpaceDN w:val="0"/>
        <w:adjustRightInd w:val="0"/>
        <w:spacing w:after="0" w:line="480" w:lineRule="auto"/>
        <w:jc w:val="both"/>
        <w:rPr>
          <w:rFonts w:ascii="Times New Roman" w:hAnsi="Times New Roman" w:cs="Times New Roman"/>
          <w:sz w:val="24"/>
          <w:szCs w:val="24"/>
        </w:rPr>
      </w:pPr>
      <w:r w:rsidRPr="008928F6">
        <w:rPr>
          <w:rFonts w:ascii="Times New Roman" w:hAnsi="Times New Roman" w:cs="Times New Roman"/>
          <w:color w:val="000000"/>
          <w:sz w:val="24"/>
          <w:szCs w:val="24"/>
        </w:rPr>
        <w:t>Despite the general safety of PEG, procedural or post-procedural complications may rarely develop</w:t>
      </w:r>
      <w:r>
        <w:rPr>
          <w:rFonts w:ascii="Times New Roman" w:hAnsi="Times New Roman" w:cs="Times New Roman"/>
          <w:color w:val="000000"/>
          <w:sz w:val="24"/>
          <w:szCs w:val="24"/>
        </w:rPr>
        <w:t>(30,31).</w:t>
      </w:r>
      <w:r w:rsidRPr="008928F6">
        <w:rPr>
          <w:rFonts w:ascii="Times New Roman" w:hAnsi="Times New Roman" w:cs="Times New Roman"/>
          <w:color w:val="000000"/>
          <w:sz w:val="24"/>
          <w:szCs w:val="24"/>
        </w:rPr>
        <w:t xml:space="preserve"> The main complications associated with the procedure include </w:t>
      </w:r>
      <w:r w:rsidRPr="008928F6">
        <w:rPr>
          <w:rFonts w:ascii="Times New Roman" w:hAnsi="Times New Roman" w:cs="Times New Roman"/>
          <w:sz w:val="24"/>
          <w:szCs w:val="24"/>
        </w:rPr>
        <w:t xml:space="preserve">abdominal wall bleeding, pneumoperitoneum, colon or small intestine trauma, liver or spleen laceration, and intra-retroperitoneal bleeding. </w:t>
      </w:r>
      <w:r w:rsidRPr="008928F6">
        <w:rPr>
          <w:rFonts w:ascii="Times New Roman" w:hAnsi="Times New Roman" w:cs="Times New Roman"/>
          <w:color w:val="000000"/>
          <w:sz w:val="24"/>
          <w:szCs w:val="24"/>
        </w:rPr>
        <w:t xml:space="preserve">Post-procedural complications include </w:t>
      </w:r>
      <w:r w:rsidRPr="008928F6">
        <w:rPr>
          <w:rFonts w:ascii="Times New Roman" w:hAnsi="Times New Roman" w:cs="Times New Roman"/>
          <w:sz w:val="24"/>
          <w:szCs w:val="24"/>
        </w:rPr>
        <w:t xml:space="preserve"> peristomal pain, wound infection or abscess, necrotizing fasciitis, gastric outlet obstruction, ileus or gastroparesis, aspiration and diarrhea.   The major complication rate has been reported as 4.9%(30). </w:t>
      </w:r>
      <w:r w:rsidRPr="008928F6">
        <w:rPr>
          <w:rFonts w:ascii="Times New Roman" w:hAnsi="Times New Roman" w:cs="Times New Roman"/>
          <w:color w:val="000000"/>
          <w:sz w:val="24"/>
          <w:szCs w:val="24"/>
        </w:rPr>
        <w:t>In our patient group</w:t>
      </w:r>
      <w:r w:rsidRPr="008928F6">
        <w:rPr>
          <w:rFonts w:ascii="Times New Roman" w:hAnsi="Times New Roman" w:cs="Times New Roman"/>
          <w:sz w:val="24"/>
          <w:szCs w:val="24"/>
        </w:rPr>
        <w:t xml:space="preserve">, although there were no major complications, early </w:t>
      </w:r>
      <w:r w:rsidRPr="008928F6">
        <w:rPr>
          <w:rFonts w:ascii="Times New Roman" w:hAnsi="Times New Roman" w:cs="Times New Roman"/>
          <w:sz w:val="24"/>
          <w:szCs w:val="24"/>
        </w:rPr>
        <w:lastRenderedPageBreak/>
        <w:t xml:space="preserve">complications occurred at a rate of </w:t>
      </w:r>
      <w:r>
        <w:rPr>
          <w:rFonts w:ascii="Times New Roman" w:hAnsi="Times New Roman" w:cs="Times New Roman"/>
          <w:sz w:val="24"/>
          <w:szCs w:val="24"/>
        </w:rPr>
        <w:t>6,89</w:t>
      </w:r>
      <w:r w:rsidRPr="008928F6">
        <w:rPr>
          <w:rFonts w:ascii="Times New Roman" w:hAnsi="Times New Roman" w:cs="Times New Roman"/>
          <w:sz w:val="24"/>
          <w:szCs w:val="24"/>
        </w:rPr>
        <w:t xml:space="preserve">% and late complications occurred at a rate of </w:t>
      </w:r>
      <w:r>
        <w:rPr>
          <w:rFonts w:ascii="Times New Roman" w:hAnsi="Times New Roman" w:cs="Times New Roman"/>
          <w:sz w:val="24"/>
          <w:szCs w:val="24"/>
        </w:rPr>
        <w:t>6</w:t>
      </w:r>
      <w:r w:rsidRPr="008928F6">
        <w:rPr>
          <w:rFonts w:ascii="Times New Roman" w:hAnsi="Times New Roman" w:cs="Times New Roman"/>
          <w:sz w:val="24"/>
          <w:szCs w:val="24"/>
        </w:rPr>
        <w:t>.8</w:t>
      </w:r>
      <w:r>
        <w:rPr>
          <w:rFonts w:ascii="Times New Roman" w:hAnsi="Times New Roman" w:cs="Times New Roman"/>
          <w:sz w:val="24"/>
          <w:szCs w:val="24"/>
        </w:rPr>
        <w:t>9</w:t>
      </w:r>
      <w:r w:rsidRPr="008928F6">
        <w:rPr>
          <w:rFonts w:ascii="Times New Roman" w:hAnsi="Times New Roman" w:cs="Times New Roman"/>
          <w:sz w:val="24"/>
          <w:szCs w:val="24"/>
        </w:rPr>
        <w:t xml:space="preserve">%. Periostomal infection developed in </w:t>
      </w:r>
      <w:r>
        <w:rPr>
          <w:rFonts w:ascii="Times New Roman" w:hAnsi="Times New Roman" w:cs="Times New Roman"/>
          <w:sz w:val="24"/>
          <w:szCs w:val="24"/>
        </w:rPr>
        <w:t>1</w:t>
      </w:r>
      <w:r w:rsidRPr="008928F6">
        <w:rPr>
          <w:rFonts w:ascii="Times New Roman" w:hAnsi="Times New Roman" w:cs="Times New Roman"/>
          <w:sz w:val="24"/>
          <w:szCs w:val="24"/>
        </w:rPr>
        <w:t xml:space="preserve"> patient and PEG</w:t>
      </w:r>
      <w:r>
        <w:rPr>
          <w:rFonts w:ascii="Times New Roman" w:hAnsi="Times New Roman" w:cs="Times New Roman"/>
          <w:sz w:val="24"/>
          <w:szCs w:val="24"/>
        </w:rPr>
        <w:t xml:space="preserve"> tube</w:t>
      </w:r>
      <w:r w:rsidRPr="008928F6">
        <w:rPr>
          <w:rFonts w:ascii="Times New Roman" w:hAnsi="Times New Roman" w:cs="Times New Roman"/>
          <w:sz w:val="24"/>
          <w:szCs w:val="24"/>
        </w:rPr>
        <w:t xml:space="preserve"> was </w:t>
      </w:r>
      <w:bookmarkStart w:id="7" w:name="_Hlk168065390"/>
      <w:r w:rsidRPr="008928F6">
        <w:rPr>
          <w:rFonts w:ascii="Times New Roman" w:hAnsi="Times New Roman" w:cs="Times New Roman"/>
          <w:sz w:val="24"/>
          <w:szCs w:val="24"/>
        </w:rPr>
        <w:t>removed</w:t>
      </w:r>
      <w:bookmarkEnd w:id="7"/>
      <w:r w:rsidRPr="008928F6">
        <w:rPr>
          <w:rFonts w:ascii="Times New Roman" w:hAnsi="Times New Roman" w:cs="Times New Roman"/>
          <w:sz w:val="24"/>
          <w:szCs w:val="24"/>
        </w:rPr>
        <w:t>.</w:t>
      </w:r>
      <w:r w:rsidRPr="001547C7">
        <w:rPr>
          <w:rFonts w:ascii="Times New Roman" w:hAnsi="Times New Roman" w:cs="Times New Roman"/>
          <w:sz w:val="24"/>
          <w:szCs w:val="24"/>
        </w:rPr>
        <w:t xml:space="preserve"> </w:t>
      </w:r>
      <w:r w:rsidRPr="005C6DF4">
        <w:rPr>
          <w:rFonts w:ascii="Times New Roman" w:hAnsi="Times New Roman" w:cs="Times New Roman"/>
          <w:sz w:val="24"/>
          <w:szCs w:val="24"/>
        </w:rPr>
        <w:t xml:space="preserve">Two weeks later, the patient was re-inserted a PEG tube. </w:t>
      </w:r>
      <w:r w:rsidRPr="008928F6">
        <w:rPr>
          <w:rFonts w:ascii="Times New Roman" w:hAnsi="Times New Roman" w:cs="Times New Roman"/>
          <w:sz w:val="24"/>
          <w:szCs w:val="24"/>
        </w:rPr>
        <w:t xml:space="preserve"> One patient with periostomal bleeding stopped bleeding spontaneously approximately 12 hours after the procedure.</w:t>
      </w:r>
    </w:p>
    <w:p w14:paraId="52F53F1C" w14:textId="77777777" w:rsidR="00446E3E" w:rsidRPr="008928F6" w:rsidRDefault="00446E3E" w:rsidP="00446E3E">
      <w:pPr>
        <w:autoSpaceDE w:val="0"/>
        <w:autoSpaceDN w:val="0"/>
        <w:adjustRightInd w:val="0"/>
        <w:spacing w:after="0" w:line="480" w:lineRule="auto"/>
        <w:jc w:val="both"/>
        <w:rPr>
          <w:rFonts w:ascii="Times New Roman" w:hAnsi="Times New Roman" w:cs="Times New Roman"/>
          <w:sz w:val="24"/>
          <w:szCs w:val="24"/>
        </w:rPr>
      </w:pPr>
      <w:r w:rsidRPr="008928F6">
        <w:rPr>
          <w:rFonts w:ascii="Times New Roman" w:hAnsi="Times New Roman" w:cs="Times New Roman"/>
          <w:sz w:val="24"/>
          <w:szCs w:val="24"/>
        </w:rPr>
        <w:t>The most common complication after PEG procedure is wound infection.  It generally has a mild course and regresses with intravenous antibiotic treatment.  Abscess or peritonitis, which may rarely be fatal, may develop in geriatric age group or in patients predisposed to infection. In a retrospective study, the rate of wound infection in 642 patients with PEG catheter placement was reported to be 3.5%(3</w:t>
      </w:r>
      <w:r>
        <w:rPr>
          <w:rFonts w:ascii="Times New Roman" w:hAnsi="Times New Roman" w:cs="Times New Roman"/>
          <w:sz w:val="24"/>
          <w:szCs w:val="24"/>
        </w:rPr>
        <w:t>2</w:t>
      </w:r>
      <w:r w:rsidRPr="008928F6">
        <w:rPr>
          <w:rFonts w:ascii="Times New Roman" w:hAnsi="Times New Roman" w:cs="Times New Roman"/>
          <w:sz w:val="24"/>
          <w:szCs w:val="24"/>
        </w:rPr>
        <w:t>). In another study conducted in a general surgery clinic, this rate was reported as 8.4%(3</w:t>
      </w:r>
      <w:r>
        <w:rPr>
          <w:rFonts w:ascii="Times New Roman" w:hAnsi="Times New Roman" w:cs="Times New Roman"/>
          <w:sz w:val="24"/>
          <w:szCs w:val="24"/>
        </w:rPr>
        <w:t>3</w:t>
      </w:r>
      <w:r w:rsidRPr="008928F6">
        <w:rPr>
          <w:rFonts w:ascii="Times New Roman" w:hAnsi="Times New Roman" w:cs="Times New Roman"/>
          <w:sz w:val="24"/>
          <w:szCs w:val="24"/>
        </w:rPr>
        <w:t>).</w:t>
      </w:r>
    </w:p>
    <w:p w14:paraId="2582FD06" w14:textId="77777777" w:rsidR="00446E3E" w:rsidRDefault="00446E3E" w:rsidP="00446E3E">
      <w:pPr>
        <w:autoSpaceDE w:val="0"/>
        <w:autoSpaceDN w:val="0"/>
        <w:adjustRightInd w:val="0"/>
        <w:spacing w:after="0" w:line="480" w:lineRule="auto"/>
        <w:jc w:val="both"/>
        <w:rPr>
          <w:rFonts w:ascii="Times New Roman" w:hAnsi="Times New Roman" w:cs="Times New Roman"/>
          <w:sz w:val="24"/>
          <w:szCs w:val="24"/>
        </w:rPr>
      </w:pPr>
      <w:r w:rsidRPr="0093150B">
        <w:rPr>
          <w:rFonts w:ascii="Times New Roman" w:hAnsi="Times New Roman" w:cs="Times New Roman"/>
          <w:sz w:val="24"/>
          <w:szCs w:val="24"/>
        </w:rPr>
        <w:t xml:space="preserve">Failure to provide appropriate and adequate care to patients after PEG causes some problems. Among these problems; tube obstruction with a rate of 4.41%, leakage around the tube with a rate of 9.2% and hypergranulation tissue formation with a rate of 2.6% have been reported (34,35). One patient who applied to our outpatient clinic in the late period and whose tube was occluded was opened by sending endoscopic forceps through the tube. In one patient whose tube was displaced, a PEG tube was inserted again in our endoscopy unit, using the same method and from the same location. Although the PEG procedure is a minimally invasive procedure, undesirable major and minor complications may occur. The most important major complications are gastric perforation, gastrocolic fistula and peritonitis(36). The most important minor complications are tube dislocation, obstruction and breakage, periostomal leakage, periostomal skin infection and bleeding(35). In the literature, major complication rates have been reported between 2.7-2.8%, and minor complications have been reported between 6-7.1% (36,37). In our study, no major complication was observed in any of our patients. Although our early and late minor complication rates seem to be compatible with the literature (6.89%), our total minor complication rate was 13.79%. We think that this high </w:t>
      </w:r>
      <w:r w:rsidRPr="0093150B">
        <w:rPr>
          <w:rFonts w:ascii="Times New Roman" w:hAnsi="Times New Roman" w:cs="Times New Roman"/>
          <w:sz w:val="24"/>
          <w:szCs w:val="24"/>
        </w:rPr>
        <w:lastRenderedPageBreak/>
        <w:t>rate is due to the lack of adequate post-discharge care training. Because, long-term effective use of the PEG tube is possible only if the healthcare personnel who are knowledgeable and experienced in this subject effectively provide training to the patient and/or family and follow-up of these patients after discharge(38).</w:t>
      </w:r>
    </w:p>
    <w:p w14:paraId="2D319F94" w14:textId="77777777" w:rsidR="00446E3E" w:rsidRPr="0093150B" w:rsidRDefault="00446E3E" w:rsidP="00446E3E">
      <w:pPr>
        <w:autoSpaceDE w:val="0"/>
        <w:autoSpaceDN w:val="0"/>
        <w:adjustRightInd w:val="0"/>
        <w:spacing w:after="0" w:line="480" w:lineRule="auto"/>
        <w:jc w:val="both"/>
        <w:rPr>
          <w:rFonts w:ascii="Times New Roman" w:hAnsi="Times New Roman" w:cs="Times New Roman"/>
          <w:sz w:val="24"/>
          <w:szCs w:val="24"/>
        </w:rPr>
      </w:pPr>
    </w:p>
    <w:p w14:paraId="63C3C6C8" w14:textId="77777777" w:rsidR="00446E3E" w:rsidRPr="0093150B" w:rsidRDefault="00446E3E" w:rsidP="00446E3E">
      <w:pPr>
        <w:autoSpaceDE w:val="0"/>
        <w:autoSpaceDN w:val="0"/>
        <w:adjustRightInd w:val="0"/>
        <w:spacing w:after="0" w:line="480" w:lineRule="auto"/>
        <w:rPr>
          <w:rFonts w:ascii="Times New Roman" w:hAnsi="Times New Roman" w:cs="Times New Roman"/>
          <w:b/>
          <w:color w:val="000000"/>
          <w:sz w:val="24"/>
          <w:szCs w:val="24"/>
        </w:rPr>
      </w:pPr>
      <w:r w:rsidRPr="0093150B">
        <w:rPr>
          <w:rFonts w:ascii="Times New Roman" w:hAnsi="Times New Roman" w:cs="Times New Roman"/>
          <w:b/>
          <w:color w:val="000000"/>
          <w:sz w:val="24"/>
          <w:szCs w:val="24"/>
        </w:rPr>
        <w:t>CONCLUSION</w:t>
      </w:r>
    </w:p>
    <w:p w14:paraId="68ADD493" w14:textId="77777777" w:rsidR="00446E3E" w:rsidRDefault="00446E3E" w:rsidP="00446E3E">
      <w:pPr>
        <w:autoSpaceDE w:val="0"/>
        <w:autoSpaceDN w:val="0"/>
        <w:adjustRightInd w:val="0"/>
        <w:spacing w:after="0" w:line="480" w:lineRule="auto"/>
        <w:jc w:val="both"/>
        <w:rPr>
          <w:rFonts w:ascii="Times New Roman" w:eastAsia="DINbekLight" w:hAnsi="Times New Roman" w:cs="Times New Roman"/>
          <w:sz w:val="24"/>
          <w:szCs w:val="24"/>
        </w:rPr>
      </w:pPr>
      <w:r w:rsidRPr="0093150B">
        <w:rPr>
          <w:rFonts w:ascii="Times New Roman" w:hAnsi="Times New Roman" w:cs="Times New Roman"/>
          <w:sz w:val="24"/>
          <w:szCs w:val="24"/>
        </w:rPr>
        <w:t xml:space="preserve">In conclusion, enteral nutrition should be preferred in patients who require long-term nutrition to avoid the complications of parenteral nutrition. </w:t>
      </w:r>
      <w:r w:rsidRPr="0093150B">
        <w:rPr>
          <w:rFonts w:ascii="Times New Roman" w:hAnsi="Times New Roman" w:cs="Times New Roman"/>
          <w:color w:val="000000"/>
          <w:sz w:val="24"/>
          <w:szCs w:val="24"/>
        </w:rPr>
        <w:t>In agreement with the published literature, PEG-related complications were low in frequency and there were no cases of PEG-related mortality.</w:t>
      </w:r>
      <w:r w:rsidRPr="0093150B">
        <w:rPr>
          <w:rFonts w:ascii="Times New Roman" w:hAnsi="Times New Roman" w:cs="Times New Roman"/>
          <w:sz w:val="24"/>
          <w:szCs w:val="24"/>
        </w:rPr>
        <w:t xml:space="preserve"> </w:t>
      </w:r>
      <w:r w:rsidRPr="003E282A">
        <w:rPr>
          <w:rFonts w:ascii="Times New Roman" w:eastAsia="DINbekLight" w:hAnsi="Times New Roman" w:cs="Times New Roman"/>
          <w:sz w:val="24"/>
          <w:szCs w:val="24"/>
        </w:rPr>
        <w:t>PEG procedure has some advantages such as simplicity, low complication rates</w:t>
      </w:r>
      <w:r>
        <w:rPr>
          <w:rFonts w:ascii="Times New Roman" w:eastAsia="DINbekLight" w:hAnsi="Times New Roman" w:cs="Times New Roman"/>
          <w:sz w:val="24"/>
          <w:szCs w:val="24"/>
        </w:rPr>
        <w:t xml:space="preserve"> and </w:t>
      </w:r>
      <w:r w:rsidRPr="003E282A">
        <w:rPr>
          <w:rFonts w:ascii="Times New Roman" w:eastAsia="DINbekLight" w:hAnsi="Times New Roman" w:cs="Times New Roman"/>
          <w:sz w:val="24"/>
          <w:szCs w:val="24"/>
        </w:rPr>
        <w:t>long term enteral nutrition.</w:t>
      </w:r>
    </w:p>
    <w:p w14:paraId="6FC0F726" w14:textId="77777777" w:rsidR="00446E3E" w:rsidRPr="0093150B" w:rsidRDefault="00446E3E" w:rsidP="00446E3E">
      <w:pPr>
        <w:autoSpaceDE w:val="0"/>
        <w:autoSpaceDN w:val="0"/>
        <w:adjustRightInd w:val="0"/>
        <w:spacing w:after="0" w:line="480" w:lineRule="auto"/>
        <w:jc w:val="both"/>
        <w:rPr>
          <w:rFonts w:ascii="Times New Roman" w:hAnsi="Times New Roman" w:cs="Times New Roman"/>
          <w:sz w:val="24"/>
          <w:szCs w:val="24"/>
        </w:rPr>
      </w:pPr>
    </w:p>
    <w:p w14:paraId="58D64E49" w14:textId="77777777" w:rsidR="00446E3E" w:rsidRPr="0071302D" w:rsidRDefault="00446E3E" w:rsidP="00446E3E">
      <w:pPr>
        <w:autoSpaceDE w:val="0"/>
        <w:autoSpaceDN w:val="0"/>
        <w:adjustRightInd w:val="0"/>
        <w:spacing w:after="0" w:line="480" w:lineRule="auto"/>
        <w:jc w:val="both"/>
        <w:rPr>
          <w:rFonts w:ascii="Times New Roman" w:hAnsi="Times New Roman" w:cs="Times New Roman"/>
          <w:sz w:val="24"/>
          <w:szCs w:val="24"/>
        </w:rPr>
      </w:pPr>
      <w:r w:rsidRPr="001D5DE8">
        <w:rPr>
          <w:rFonts w:ascii="Times New Roman" w:hAnsi="Times New Roman" w:cs="Times New Roman"/>
          <w:b/>
          <w:sz w:val="24"/>
          <w:szCs w:val="24"/>
        </w:rPr>
        <w:t>REFERENCES</w:t>
      </w:r>
    </w:p>
    <w:p w14:paraId="30862C80" w14:textId="77777777" w:rsidR="00446E3E" w:rsidRPr="0071302D" w:rsidRDefault="00446E3E" w:rsidP="00446E3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71302D">
        <w:rPr>
          <w:rFonts w:ascii="Times New Roman" w:hAnsi="Times New Roman" w:cs="Times New Roman"/>
          <w:sz w:val="24"/>
          <w:szCs w:val="24"/>
        </w:rPr>
        <w:t>Conroy T. The Prevention and Management of Complications associated with established Percutaneous Gastrostomy Tubes in Adults: A Systematic Review. JBI Libr Syst Rev 2009 ;7(1):1–37.</w:t>
      </w:r>
    </w:p>
    <w:p w14:paraId="2665E625" w14:textId="77777777" w:rsidR="00446E3E" w:rsidRPr="0071302D" w:rsidRDefault="00446E3E" w:rsidP="00446E3E">
      <w:pPr>
        <w:pStyle w:val="ListParagraph"/>
        <w:numPr>
          <w:ilvl w:val="0"/>
          <w:numId w:val="1"/>
        </w:numPr>
        <w:autoSpaceDE w:val="0"/>
        <w:autoSpaceDN w:val="0"/>
        <w:adjustRightInd w:val="0"/>
        <w:spacing w:after="0" w:line="480" w:lineRule="auto"/>
        <w:jc w:val="both"/>
        <w:rPr>
          <w:rStyle w:val="A1"/>
          <w:rFonts w:ascii="Times New Roman" w:hAnsi="Times New Roman" w:cs="Times New Roman"/>
          <w:color w:val="auto"/>
          <w:sz w:val="24"/>
          <w:szCs w:val="24"/>
        </w:rPr>
      </w:pPr>
      <w:r w:rsidRPr="0071302D">
        <w:rPr>
          <w:rStyle w:val="A1"/>
          <w:rFonts w:ascii="Times New Roman" w:hAnsi="Times New Roman" w:cs="Times New Roman"/>
          <w:sz w:val="24"/>
          <w:szCs w:val="24"/>
        </w:rPr>
        <w:t xml:space="preserve">Ponsky JL. The development of PEG: How it happened. J Interv Gastroenterol 2011;1(2):88-89. </w:t>
      </w:r>
      <w:hyperlink r:id="rId7" w:history="1">
        <w:r w:rsidRPr="0071302D">
          <w:rPr>
            <w:rStyle w:val="Hyperlink"/>
            <w:rFonts w:ascii="Times New Roman" w:hAnsi="Times New Roman" w:cs="Times New Roman"/>
            <w:sz w:val="24"/>
            <w:szCs w:val="24"/>
          </w:rPr>
          <w:t>http://dx.doi.org/10.4161/jig.1.2.16831</w:t>
        </w:r>
      </w:hyperlink>
      <w:r w:rsidRPr="0071302D">
        <w:rPr>
          <w:rStyle w:val="A1"/>
          <w:rFonts w:ascii="Times New Roman" w:hAnsi="Times New Roman" w:cs="Times New Roman"/>
          <w:sz w:val="24"/>
          <w:szCs w:val="24"/>
        </w:rPr>
        <w:t>.</w:t>
      </w:r>
    </w:p>
    <w:p w14:paraId="2E3AE366" w14:textId="77777777" w:rsidR="00446E3E" w:rsidRPr="0071302D" w:rsidRDefault="00446E3E" w:rsidP="00446E3E">
      <w:pPr>
        <w:pStyle w:val="ListParagraph"/>
        <w:numPr>
          <w:ilvl w:val="0"/>
          <w:numId w:val="1"/>
        </w:numPr>
        <w:autoSpaceDE w:val="0"/>
        <w:autoSpaceDN w:val="0"/>
        <w:adjustRightInd w:val="0"/>
        <w:spacing w:after="0" w:line="480" w:lineRule="auto"/>
        <w:jc w:val="both"/>
        <w:rPr>
          <w:rStyle w:val="A1"/>
          <w:rFonts w:ascii="Times New Roman" w:hAnsi="Times New Roman" w:cs="Times New Roman"/>
          <w:color w:val="auto"/>
          <w:sz w:val="24"/>
          <w:szCs w:val="24"/>
        </w:rPr>
      </w:pPr>
      <w:r w:rsidRPr="0071302D">
        <w:rPr>
          <w:rStyle w:val="A1"/>
          <w:rFonts w:ascii="Times New Roman" w:hAnsi="Times New Roman" w:cs="Times New Roman"/>
          <w:sz w:val="24"/>
          <w:szCs w:val="24"/>
        </w:rPr>
        <w:t>Dwyer KM, Watts DD, Thurber JS, Benoit RS, Fakhry SM. Percutaneous endoscopic gastrostomy: the pref</w:t>
      </w:r>
      <w:r w:rsidRPr="0071302D">
        <w:rPr>
          <w:rStyle w:val="A1"/>
          <w:rFonts w:ascii="Times New Roman" w:hAnsi="Times New Roman" w:cs="Times New Roman"/>
          <w:sz w:val="24"/>
          <w:szCs w:val="24"/>
        </w:rPr>
        <w:softHyphen/>
        <w:t xml:space="preserve">ered method elective feeding tube placement in trauma patients. J Trauma 2002;52(1):26-32. </w:t>
      </w:r>
      <w:hyperlink r:id="rId8" w:history="1">
        <w:r w:rsidRPr="0071302D">
          <w:rPr>
            <w:rStyle w:val="Hyperlink"/>
            <w:rFonts w:ascii="Times New Roman" w:hAnsi="Times New Roman" w:cs="Times New Roman"/>
            <w:sz w:val="24"/>
            <w:szCs w:val="24"/>
          </w:rPr>
          <w:t>http://dx.doi.org/10.1097/00005373-200201000-00007</w:t>
        </w:r>
      </w:hyperlink>
      <w:r w:rsidRPr="0071302D">
        <w:rPr>
          <w:rStyle w:val="A1"/>
          <w:rFonts w:ascii="Times New Roman" w:hAnsi="Times New Roman" w:cs="Times New Roman"/>
          <w:sz w:val="24"/>
          <w:szCs w:val="24"/>
        </w:rPr>
        <w:t xml:space="preserve"> .</w:t>
      </w:r>
    </w:p>
    <w:p w14:paraId="24327E3F" w14:textId="77777777" w:rsidR="00446E3E" w:rsidRPr="0071302D" w:rsidRDefault="00446E3E" w:rsidP="00446E3E">
      <w:pPr>
        <w:pStyle w:val="ListParagraph"/>
        <w:numPr>
          <w:ilvl w:val="0"/>
          <w:numId w:val="1"/>
        </w:numPr>
        <w:autoSpaceDE w:val="0"/>
        <w:autoSpaceDN w:val="0"/>
        <w:adjustRightInd w:val="0"/>
        <w:spacing w:after="0" w:line="480" w:lineRule="auto"/>
        <w:jc w:val="both"/>
        <w:rPr>
          <w:rStyle w:val="Hyperlink"/>
          <w:rFonts w:ascii="Times New Roman" w:hAnsi="Times New Roman" w:cs="Times New Roman"/>
          <w:sz w:val="24"/>
          <w:szCs w:val="24"/>
        </w:rPr>
      </w:pPr>
      <w:r w:rsidRPr="0071302D">
        <w:rPr>
          <w:rStyle w:val="A1"/>
          <w:rFonts w:ascii="Times New Roman" w:hAnsi="Times New Roman" w:cs="Times New Roman"/>
          <w:sz w:val="24"/>
          <w:szCs w:val="24"/>
        </w:rPr>
        <w:t>Rustom IK, Jebreel A, Tayyab M, England RJ, Stafford ND. Percutaneous endoscopic, radiological and sugi</w:t>
      </w:r>
      <w:r w:rsidRPr="0071302D">
        <w:rPr>
          <w:rStyle w:val="A1"/>
          <w:rFonts w:ascii="Times New Roman" w:hAnsi="Times New Roman" w:cs="Times New Roman"/>
          <w:sz w:val="24"/>
          <w:szCs w:val="24"/>
        </w:rPr>
        <w:softHyphen/>
        <w:t xml:space="preserve">cal gastrostomy tubes: a comparison study in head and neck cancer patients. J Laryngol Otol 2006;120(6):463-466.  </w:t>
      </w:r>
      <w:hyperlink r:id="rId9" w:history="1">
        <w:r w:rsidRPr="0071302D">
          <w:rPr>
            <w:rStyle w:val="Hyperlink"/>
            <w:rFonts w:ascii="Times New Roman" w:hAnsi="Times New Roman" w:cs="Times New Roman"/>
            <w:sz w:val="24"/>
            <w:szCs w:val="24"/>
          </w:rPr>
          <w:t>http://dx.doi.org/10.1017/S0022215106000661</w:t>
        </w:r>
      </w:hyperlink>
      <w:r w:rsidRPr="0071302D">
        <w:rPr>
          <w:rStyle w:val="Hyperlink"/>
          <w:rFonts w:ascii="Times New Roman" w:hAnsi="Times New Roman" w:cs="Times New Roman"/>
          <w:sz w:val="24"/>
          <w:szCs w:val="24"/>
        </w:rPr>
        <w:t>.</w:t>
      </w:r>
    </w:p>
    <w:p w14:paraId="134E6AB2"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lastRenderedPageBreak/>
        <w:t>5. Demiryilmaz I, Yilmaz I, Albayrak A, Sahin A, Sekban N. Use of percutaneous endoscopic tube gastrostomy in long-term enteral nutrition. Sakaryamj 2012;2:122-5.</w:t>
      </w:r>
    </w:p>
    <w:p w14:paraId="425FDD0B" w14:textId="77777777" w:rsidR="00637397" w:rsidRPr="00637397" w:rsidRDefault="00637397" w:rsidP="00637397">
      <w:pPr>
        <w:spacing w:line="480" w:lineRule="auto"/>
        <w:jc w:val="both"/>
        <w:rPr>
          <w:rStyle w:val="A1"/>
          <w:rFonts w:ascii="Times New Roman" w:hAnsi="Times New Roman" w:cs="Times New Roman"/>
          <w:sz w:val="24"/>
          <w:szCs w:val="24"/>
        </w:rPr>
      </w:pPr>
    </w:p>
    <w:p w14:paraId="72AFD98B"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6. Marik PE, Zaloga GP. Early enteral nutrition in acutely ill patients: a systematic eview. Crit Care Med 2001; 29: 2264-70.</w:t>
      </w:r>
    </w:p>
    <w:p w14:paraId="5F398E93" w14:textId="77777777" w:rsidR="00637397" w:rsidRPr="00637397" w:rsidRDefault="00637397" w:rsidP="00637397">
      <w:pPr>
        <w:spacing w:line="480" w:lineRule="auto"/>
        <w:jc w:val="both"/>
        <w:rPr>
          <w:rStyle w:val="A1"/>
          <w:rFonts w:ascii="Times New Roman" w:hAnsi="Times New Roman" w:cs="Times New Roman"/>
          <w:sz w:val="24"/>
          <w:szCs w:val="24"/>
        </w:rPr>
      </w:pPr>
    </w:p>
    <w:p w14:paraId="3E1F7897"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7. Inanc Y, Gokce M, Tuncel D, et al. Percutaneous endoscopic gastrostomy in neurology intensive care. International Journal of Surgery and Medicine 2018; 4:33-5.</w:t>
      </w:r>
    </w:p>
    <w:p w14:paraId="586214DE" w14:textId="77777777" w:rsidR="00637397" w:rsidRPr="00637397" w:rsidRDefault="00637397" w:rsidP="00637397">
      <w:pPr>
        <w:spacing w:line="480" w:lineRule="auto"/>
        <w:jc w:val="both"/>
        <w:rPr>
          <w:rStyle w:val="A1"/>
          <w:rFonts w:ascii="Times New Roman" w:hAnsi="Times New Roman" w:cs="Times New Roman"/>
          <w:sz w:val="24"/>
          <w:szCs w:val="24"/>
        </w:rPr>
      </w:pPr>
    </w:p>
    <w:p w14:paraId="45C76496"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8. Schrag S, Sharma R, Jaik N. Complications related to percutenaus endoscopic gastrostomy (PEG) tubes. A comprehensive clinical review. J Gastrointestin Liver Dis 16:407-18.</w:t>
      </w:r>
    </w:p>
    <w:p w14:paraId="0D6AA377"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9. Sabotka L. Fundamentals of Clinical Nutrition, 4th Edition Gündoğdu H, editor. Ankara: Bayt Scientific Research Publishing House; 2013.</w:t>
      </w:r>
    </w:p>
    <w:p w14:paraId="4F0DBEF5"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10. Bankhead R, Boullata J, Brantley S, Corkins M, Guenter P, Krenitsky J, et al. ASPEN enteral nutrition practice recommendations, Journal of Parenteral and Enteral Nutrition, 2009;33(2):122-167.</w:t>
      </w:r>
    </w:p>
    <w:p w14:paraId="5D6395B8"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11. Loser C, Aschl G, Hébuterne X, Mathus-Vliegen E, Muscaritoli M, Niv Y, et al. ESPEN guidelines on artificial enteral nutrition–percutaneous endoscopic gastrostomy (PEG), Clinical Nutrition, 2005;24(5):848-861.</w:t>
      </w:r>
    </w:p>
    <w:p w14:paraId="50739014"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12. Tabrizi R, Hosseinpour S, Taghizadeh F. Feeding in Oral Cancer Patients After Massive Ablative Surgery: Percutaneous Endoscopic Gastrostomy or Nasogastric Tube, Journal of Craniofacial Surgery, 2016;27(4):1010-1011.</w:t>
      </w:r>
    </w:p>
    <w:p w14:paraId="7C6B401B"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lastRenderedPageBreak/>
        <w:t>13. Azar AR, Rahnemaiazar AA, Naghshizadian R, Kurtz A, Farkas DT. Percutaneous endoscopic gastrostomy: indications, technique, complications and management. World J Gastroenterol. 2014;20(24):7739-51.</w:t>
      </w:r>
    </w:p>
    <w:p w14:paraId="39873AC7"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14. Friginal-Ruiz AB, Lucendo A. Percutaneous endoscopic gastrostomy. A Practical overview on its indications, placement conditions, management, and nursing care. Gastroenterology Nursing. 2015;38(5):354-68.</w:t>
      </w:r>
    </w:p>
    <w:p w14:paraId="13E6BE96"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15. Sharma RS, Jaik NP, Seamon MJ, Lukaszczyk JJ, Martin ND, Hoey BE, et al. Complications related to percutaneous endoscopic gastrostomy (peg) tubes. A Comprehensive clinical review. J Gastrointestin Liver Dis. 2007;16(4):407-18.</w:t>
      </w:r>
    </w:p>
    <w:p w14:paraId="162A2F40"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16. Koçak E, Filik L. Percutaneous endoscopic gastrostomy. Journal of Endoscopy. 2009;17(3): 124-7.</w:t>
      </w:r>
    </w:p>
    <w:p w14:paraId="6B636AE9"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17. Blumenstein I, Shastri YG, Stein J. Gastroenteric tube feeding: techniques, problems and solutions. World J Gastroenterol. 2014;20(26):8505-24.</w:t>
      </w:r>
    </w:p>
    <w:p w14:paraId="6009637B"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18. Pih GY, Na HK, Ahn JY, Jung KW, Kim DH, Lee H et al.,“Risk factors for complications and mortality of percutaneous endoscopic gastrostomy insertion”, BMC Gastroenterology. 2018; 18(1); 101.</w:t>
      </w:r>
    </w:p>
    <w:p w14:paraId="633A42D1"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19. Mello GFS, Lukashok HP, Meine GC, et al. Outpatient percutaneous endoscopic gastrostomy in selected head and neck cancer patients. Surg Endosc 2009; 23:1487-93.</w:t>
      </w:r>
    </w:p>
    <w:p w14:paraId="4D2243A9" w14:textId="77777777" w:rsidR="00637397" w:rsidRPr="00637397" w:rsidRDefault="00637397" w:rsidP="00637397">
      <w:pPr>
        <w:spacing w:line="480" w:lineRule="auto"/>
        <w:jc w:val="both"/>
        <w:rPr>
          <w:rStyle w:val="A1"/>
          <w:rFonts w:ascii="Times New Roman" w:hAnsi="Times New Roman" w:cs="Times New Roman"/>
          <w:sz w:val="24"/>
          <w:szCs w:val="24"/>
        </w:rPr>
      </w:pPr>
    </w:p>
    <w:p w14:paraId="368A8E46"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20. Tuncer K, Kılınçsoy N, Lebe E, et al. Our percutaneous endoscopic gastrostomy results: review of 49 cases. Academic Gastroenterology Journal 2003;2:64-8.</w:t>
      </w:r>
    </w:p>
    <w:p w14:paraId="7C80F223" w14:textId="77777777" w:rsidR="00637397" w:rsidRPr="00637397" w:rsidRDefault="00637397" w:rsidP="00637397">
      <w:pPr>
        <w:spacing w:line="480" w:lineRule="auto"/>
        <w:jc w:val="both"/>
        <w:rPr>
          <w:rStyle w:val="A1"/>
          <w:rFonts w:ascii="Times New Roman" w:hAnsi="Times New Roman" w:cs="Times New Roman"/>
          <w:sz w:val="24"/>
          <w:szCs w:val="24"/>
        </w:rPr>
      </w:pPr>
    </w:p>
    <w:p w14:paraId="79D61954"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lastRenderedPageBreak/>
        <w:t>21. Akçan Y, Arslan M, Arslan S, et al. Percutaneous endoscopic gastrostomy; the Hacettepe University Hospital experience. Turkiye Clinics J Gastroenterohepatol 1999;10:23-7. 22. Ali T, Le V, Sharma T, et al. Post-PEG feeding time: a web based national survey among gastroenterologists. Dig Liver Dis 2011;43:768-71.</w:t>
      </w:r>
    </w:p>
    <w:p w14:paraId="2596AC05"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22. Ali T, Le V, Sharma T, et al. Post-PEG feeding time: a web based national survey among gastroenterologists. Dig Liver Dis 2011;43:768-71.</w:t>
      </w:r>
    </w:p>
    <w:p w14:paraId="20520313"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23. Marik PE, Zaloga GP. Early enteral nutrition in acutely ill patients: a systematic review. Crit Care Med 2001;29:2264-70.</w:t>
      </w:r>
    </w:p>
    <w:p w14:paraId="054CBFC8"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24. Nicholson FB, Korman MG, Richardson MA. Percutaneous endoscopic gastrostomy: a review of indications, complications and outcome. J Gastroenterol Hepatol 2000;15:21-5.</w:t>
      </w:r>
    </w:p>
    <w:p w14:paraId="6C6600E5"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25. Skelly RH, Kupfer RM, Metcalfe ME, et al. Percutaneous endoscopic gastrostomy (PEG): change in practice since 1988. Clin Nutr 2002;21:389-94.</w:t>
      </w:r>
    </w:p>
    <w:p w14:paraId="203D3599"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26. Kobayashi K, Cooper GS, Chak A, et al. A prospective evaluation of outcome in patients referred for PEG placement. Gastrointest Endosc 2002;55:500-6.</w:t>
      </w:r>
    </w:p>
    <w:p w14:paraId="673DF157"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27. Tokunaga T, Kubo T, Ryan S, et al. Long-term outcome after placement of a percutaneous endoscopic gastrostomy tube. Geriatr Gerontol Int 2008;8:19-23.</w:t>
      </w:r>
    </w:p>
    <w:p w14:paraId="4E6090BD"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28. Alper E, Baydar B, Arı FÖ, et al. Our experience with percutaneous endoscopic gastrostomy: indications and complications. Academic Gastroenterology Journal 2009;8:74-6.</w:t>
      </w:r>
    </w:p>
    <w:p w14:paraId="699D7F58"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29. Tuncer K, Kilincsoy N, Lebe E, et al. Our results of percutaneous endoscopic gastrostomy: review of 49 cases. Academic Gastroenterology Journal 2003;2:64-8.</w:t>
      </w:r>
    </w:p>
    <w:p w14:paraId="5A2B4742"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lastRenderedPageBreak/>
        <w:t>30. Blum Ca, Selander C, Rudy JM, Leon S. The incidence and clinical significance of pneumoperitoneum after percutaneous endoscopic gastrostomy: a review of 722 cases. Am Surg 2009;75:39-43.</w:t>
      </w:r>
    </w:p>
    <w:p w14:paraId="49598538"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31. Schurink CA, Tuynman H, Scholten P, et al. Percutaneous endoscopic gastrostomy: Complications and Suggestion to avoid them. Eur J Gastroenterol Hepathol 2001;13:819-823.</w:t>
      </w:r>
    </w:p>
    <w:p w14:paraId="0A5891CF"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32. Demirci H, Kilciler G, Ozturk K, Kantarcioglu M, Uygun A, Bagci S. Our experiences with percutaneous endoscopic gastrostomy applications. Endoscopy Gastrointestinal 2015 ;23(3):73–6.</w:t>
      </w:r>
    </w:p>
    <w:p w14:paraId="2FA4B512" w14:textId="4BA42F16"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33. Akici M, Ersen O, Celik G, Cilekar M, Experiences With Percutaneous Endoscopıc Gastrostomy In A General</w:t>
      </w:r>
      <w:r w:rsidRPr="00637397">
        <w:t xml:space="preserve"> </w:t>
      </w:r>
      <w:r w:rsidRPr="00637397">
        <w:rPr>
          <w:rStyle w:val="A1"/>
          <w:rFonts w:ascii="Times New Roman" w:hAnsi="Times New Roman" w:cs="Times New Roman"/>
          <w:sz w:val="24"/>
          <w:szCs w:val="24"/>
        </w:rPr>
        <w:t>Surgery Clinic. SDÜ Medical Faculty Journal 2019;26(3):234–8.</w:t>
      </w:r>
    </w:p>
    <w:p w14:paraId="5CC33AA5" w14:textId="77777777" w:rsidR="00637397" w:rsidRPr="00637397" w:rsidRDefault="00637397" w:rsidP="00637397">
      <w:pPr>
        <w:spacing w:line="480" w:lineRule="auto"/>
        <w:jc w:val="both"/>
        <w:rPr>
          <w:rStyle w:val="A1"/>
          <w:rFonts w:ascii="Times New Roman" w:hAnsi="Times New Roman" w:cs="Times New Roman"/>
          <w:sz w:val="24"/>
          <w:szCs w:val="24"/>
        </w:rPr>
      </w:pPr>
    </w:p>
    <w:p w14:paraId="48ADB43E"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34. Şit M, Kahramansoy N, ekelioğlu ÜY, Ocak T. Our Experiences in Percutaneous Endoscopic Gastrostomy Applications, Journal of Academic Research in Medicine, 2013;3(2).</w:t>
      </w:r>
    </w:p>
    <w:p w14:paraId="4AE8825E" w14:textId="77777777" w:rsidR="00637397" w:rsidRPr="00637397" w:rsidRDefault="00637397" w:rsidP="00637397">
      <w:pPr>
        <w:spacing w:line="480" w:lineRule="auto"/>
        <w:jc w:val="both"/>
        <w:rPr>
          <w:rStyle w:val="A1"/>
          <w:rFonts w:ascii="Times New Roman" w:hAnsi="Times New Roman" w:cs="Times New Roman"/>
          <w:sz w:val="24"/>
          <w:szCs w:val="24"/>
        </w:rPr>
      </w:pPr>
    </w:p>
    <w:p w14:paraId="54DE33CD"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35. Celik JB, Sizer C, Yosunkaya A, Kücükkartallar T. Our Experiences in Percutaneous Endoscopic Gastrostomy (PEG): Due to 68 Cases. Selçuk University Medical Journal, 2019;1(1).</w:t>
      </w:r>
    </w:p>
    <w:p w14:paraId="6B762FA3" w14:textId="77777777" w:rsidR="00637397" w:rsidRPr="00637397" w:rsidRDefault="00637397" w:rsidP="00637397">
      <w:pPr>
        <w:spacing w:line="480" w:lineRule="auto"/>
        <w:jc w:val="both"/>
        <w:rPr>
          <w:rStyle w:val="A1"/>
          <w:rFonts w:ascii="Times New Roman" w:hAnsi="Times New Roman" w:cs="Times New Roman"/>
          <w:sz w:val="24"/>
          <w:szCs w:val="24"/>
        </w:rPr>
      </w:pPr>
    </w:p>
    <w:p w14:paraId="300E7D32"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t>36. Foutch PG. Complications of percutaneous gastrostomy and jejunostomy. Recognition, prevention and treatment. Gastrointest Endosc Clin N Am 1992;2:231-48.</w:t>
      </w:r>
    </w:p>
    <w:p w14:paraId="36E5C01B" w14:textId="77777777" w:rsidR="00637397" w:rsidRPr="00637397" w:rsidRDefault="00637397" w:rsidP="00637397">
      <w:pPr>
        <w:spacing w:line="480" w:lineRule="auto"/>
        <w:jc w:val="both"/>
        <w:rPr>
          <w:rStyle w:val="A1"/>
          <w:rFonts w:ascii="Times New Roman" w:hAnsi="Times New Roman" w:cs="Times New Roman"/>
          <w:sz w:val="24"/>
          <w:szCs w:val="24"/>
        </w:rPr>
      </w:pPr>
    </w:p>
    <w:p w14:paraId="27079697" w14:textId="77777777" w:rsidR="00637397" w:rsidRPr="00637397" w:rsidRDefault="00637397" w:rsidP="00637397">
      <w:pPr>
        <w:spacing w:line="480" w:lineRule="auto"/>
        <w:jc w:val="both"/>
        <w:rPr>
          <w:rStyle w:val="A1"/>
          <w:rFonts w:ascii="Times New Roman" w:hAnsi="Times New Roman" w:cs="Times New Roman"/>
          <w:sz w:val="24"/>
          <w:szCs w:val="24"/>
        </w:rPr>
      </w:pPr>
      <w:r w:rsidRPr="00637397">
        <w:rPr>
          <w:rStyle w:val="A1"/>
          <w:rFonts w:ascii="Times New Roman" w:hAnsi="Times New Roman" w:cs="Times New Roman"/>
          <w:sz w:val="24"/>
          <w:szCs w:val="24"/>
        </w:rPr>
        <w:lastRenderedPageBreak/>
        <w:t>37. Gottfried EB, Plumser AB, Clair MR. Pneumoperitoneum following percutaneous endoscopic gastrostomy. Gastrointest Endosc 1986;32:397-9.</w:t>
      </w:r>
    </w:p>
    <w:p w14:paraId="6928DCF8" w14:textId="77777777" w:rsidR="00637397" w:rsidRPr="00637397" w:rsidRDefault="00637397" w:rsidP="00637397">
      <w:pPr>
        <w:spacing w:line="480" w:lineRule="auto"/>
        <w:jc w:val="both"/>
        <w:rPr>
          <w:rStyle w:val="A1"/>
          <w:rFonts w:ascii="Times New Roman" w:hAnsi="Times New Roman" w:cs="Times New Roman"/>
          <w:sz w:val="24"/>
          <w:szCs w:val="24"/>
        </w:rPr>
      </w:pPr>
    </w:p>
    <w:p w14:paraId="197161BD" w14:textId="5FB2062F" w:rsidR="00446E3E" w:rsidRDefault="00637397" w:rsidP="00637397">
      <w:pPr>
        <w:spacing w:line="480" w:lineRule="auto"/>
        <w:jc w:val="both"/>
        <w:rPr>
          <w:rFonts w:ascii="Times New Roman" w:hAnsi="Times New Roman" w:cs="Times New Roman"/>
          <w:sz w:val="24"/>
          <w:szCs w:val="24"/>
        </w:rPr>
      </w:pPr>
      <w:r w:rsidRPr="00637397">
        <w:rPr>
          <w:rStyle w:val="A1"/>
          <w:rFonts w:ascii="Times New Roman" w:hAnsi="Times New Roman" w:cs="Times New Roman"/>
          <w:sz w:val="24"/>
          <w:szCs w:val="24"/>
        </w:rPr>
        <w:t>38. Kahveci G, Çelik S. Preparation, follow-up and discharge education of the patient fed with percutaneous endoscopic gastrostomy tube. Journal of Intensive Care Nursing 2020;24(1):22-31.</w:t>
      </w:r>
    </w:p>
    <w:p w14:paraId="2DBF50C6" w14:textId="77777777" w:rsidR="00855E7E" w:rsidRDefault="00855E7E"/>
    <w:sectPr w:rsidR="00855E7E" w:rsidSect="00B3257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B1B9B" w14:textId="77777777" w:rsidR="000A57CF" w:rsidRDefault="000A57CF">
      <w:pPr>
        <w:spacing w:after="0" w:line="240" w:lineRule="auto"/>
      </w:pPr>
      <w:r>
        <w:separator/>
      </w:r>
    </w:p>
  </w:endnote>
  <w:endnote w:type="continuationSeparator" w:id="0">
    <w:p w14:paraId="547890AA" w14:textId="77777777" w:rsidR="000A57CF" w:rsidRDefault="000A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gaSansLight">
    <w:altName w:val="Times New Roman"/>
    <w:panose1 w:val="00000000000000000000"/>
    <w:charset w:val="A2"/>
    <w:family w:val="auto"/>
    <w:notTrueType/>
    <w:pitch w:val="default"/>
    <w:sig w:usb0="00000005"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 Pro">
    <w:altName w:val="Arial"/>
    <w:panose1 w:val="00000000000000000000"/>
    <w:charset w:val="A2"/>
    <w:family w:val="swiss"/>
    <w:notTrueType/>
    <w:pitch w:val="default"/>
    <w:sig w:usb0="00000001" w:usb1="00000000" w:usb2="00000000" w:usb3="00000000" w:csb0="00000013" w:csb1="00000000"/>
  </w:font>
  <w:font w:name="DINbekLight">
    <w:altName w:val="MS Mincho"/>
    <w:panose1 w:val="00000000000000000000"/>
    <w:charset w:val="80"/>
    <w:family w:val="auto"/>
    <w:notTrueType/>
    <w:pitch w:val="default"/>
    <w:sig w:usb0="00000001" w:usb1="08070000" w:usb2="00000010" w:usb3="00000000" w:csb0="00020000" w:csb1="00000000"/>
  </w:font>
  <w:font w:name="Garamond Three Tr">
    <w:altName w:val="Garamond Three Tr"/>
    <w:panose1 w:val="00000000000000000000"/>
    <w:charset w:val="00"/>
    <w:family w:val="roman"/>
    <w:notTrueType/>
    <w:pitch w:val="default"/>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B9A5" w14:textId="77777777" w:rsidR="006A5AFF" w:rsidRDefault="006A5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0568"/>
      <w:docPartObj>
        <w:docPartGallery w:val="Page Numbers (Bottom of Page)"/>
        <w:docPartUnique/>
      </w:docPartObj>
    </w:sdtPr>
    <w:sdtEndPr/>
    <w:sdtContent>
      <w:p w14:paraId="357F974B" w14:textId="77777777" w:rsidR="00071CEA" w:rsidRDefault="00446E3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ADBE02D" w14:textId="77777777" w:rsidR="00071CEA" w:rsidRDefault="00071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36AAD" w14:textId="77777777" w:rsidR="006A5AFF" w:rsidRDefault="006A5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41C4C" w14:textId="77777777" w:rsidR="000A57CF" w:rsidRDefault="000A57CF">
      <w:pPr>
        <w:spacing w:after="0" w:line="240" w:lineRule="auto"/>
      </w:pPr>
      <w:r>
        <w:separator/>
      </w:r>
    </w:p>
  </w:footnote>
  <w:footnote w:type="continuationSeparator" w:id="0">
    <w:p w14:paraId="2D11F875" w14:textId="77777777" w:rsidR="000A57CF" w:rsidRDefault="000A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C845" w14:textId="7A2760D9" w:rsidR="006A5AFF" w:rsidRDefault="006A5AFF">
    <w:pPr>
      <w:pStyle w:val="Header"/>
    </w:pPr>
    <w:r>
      <w:rPr>
        <w:noProof/>
      </w:rPr>
      <w:pict w14:anchorId="4F909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270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8A38" w14:textId="51C90625" w:rsidR="006A5AFF" w:rsidRDefault="006A5AFF">
    <w:pPr>
      <w:pStyle w:val="Header"/>
    </w:pPr>
    <w:r>
      <w:rPr>
        <w:noProof/>
      </w:rPr>
      <w:pict w14:anchorId="04F1F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270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1920" w14:textId="150E4EF8" w:rsidR="006A5AFF" w:rsidRDefault="006A5AFF">
    <w:pPr>
      <w:pStyle w:val="Header"/>
    </w:pPr>
    <w:r>
      <w:rPr>
        <w:noProof/>
      </w:rPr>
      <w:pict w14:anchorId="0E7E0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9270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5795"/>
    <w:multiLevelType w:val="hybridMultilevel"/>
    <w:tmpl w:val="C222382A"/>
    <w:lvl w:ilvl="0" w:tplc="0B3A283A">
      <w:start w:val="1"/>
      <w:numFmt w:val="decimal"/>
      <w:lvlText w:val="%1."/>
      <w:lvlJc w:val="left"/>
      <w:pPr>
        <w:ind w:left="720" w:hanging="360"/>
      </w:pPr>
      <w:rPr>
        <w:rFonts w:ascii="FrugaSansLight" w:hAnsi="FrugaSansLight" w:cs="FrugaSansLight"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C67545"/>
    <w:multiLevelType w:val="hybridMultilevel"/>
    <w:tmpl w:val="CB2848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39719F"/>
    <w:multiLevelType w:val="hybridMultilevel"/>
    <w:tmpl w:val="CB2848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6E3E"/>
    <w:rsid w:val="00071CEA"/>
    <w:rsid w:val="000A57CF"/>
    <w:rsid w:val="001E62AE"/>
    <w:rsid w:val="003B350A"/>
    <w:rsid w:val="00446E3E"/>
    <w:rsid w:val="0062119A"/>
    <w:rsid w:val="00637397"/>
    <w:rsid w:val="006A5AFF"/>
    <w:rsid w:val="007F03AD"/>
    <w:rsid w:val="00855E7E"/>
    <w:rsid w:val="00B06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9255D"/>
  <w15:docId w15:val="{6E160074-991F-4193-BB3A-A0056E9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446E3E"/>
    <w:rPr>
      <w:color w:val="000000"/>
      <w:sz w:val="20"/>
      <w:szCs w:val="20"/>
    </w:rPr>
  </w:style>
  <w:style w:type="character" w:customStyle="1" w:styleId="A5">
    <w:name w:val="A5"/>
    <w:uiPriority w:val="99"/>
    <w:rsid w:val="00446E3E"/>
    <w:rPr>
      <w:color w:val="000000"/>
      <w:sz w:val="11"/>
      <w:szCs w:val="11"/>
    </w:rPr>
  </w:style>
  <w:style w:type="character" w:customStyle="1" w:styleId="A1">
    <w:name w:val="A1"/>
    <w:uiPriority w:val="99"/>
    <w:rsid w:val="00446E3E"/>
    <w:rPr>
      <w:color w:val="000000"/>
      <w:sz w:val="18"/>
      <w:szCs w:val="18"/>
    </w:rPr>
  </w:style>
  <w:style w:type="paragraph" w:styleId="Footer">
    <w:name w:val="footer"/>
    <w:basedOn w:val="Normal"/>
    <w:link w:val="FooterChar"/>
    <w:uiPriority w:val="99"/>
    <w:unhideWhenUsed/>
    <w:rsid w:val="00446E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6E3E"/>
  </w:style>
  <w:style w:type="paragraph" w:customStyle="1" w:styleId="Default">
    <w:name w:val="Default"/>
    <w:rsid w:val="00446E3E"/>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44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E3E"/>
    <w:rPr>
      <w:color w:val="0000FF" w:themeColor="hyperlink"/>
      <w:u w:val="single"/>
    </w:rPr>
  </w:style>
  <w:style w:type="paragraph" w:styleId="ListParagraph">
    <w:name w:val="List Paragraph"/>
    <w:basedOn w:val="Normal"/>
    <w:uiPriority w:val="34"/>
    <w:qFormat/>
    <w:rsid w:val="00446E3E"/>
    <w:pPr>
      <w:ind w:left="720"/>
      <w:contextualSpacing/>
    </w:pPr>
  </w:style>
  <w:style w:type="character" w:styleId="UnresolvedMention">
    <w:name w:val="Unresolved Mention"/>
    <w:basedOn w:val="DefaultParagraphFont"/>
    <w:uiPriority w:val="99"/>
    <w:semiHidden/>
    <w:unhideWhenUsed/>
    <w:rsid w:val="0062119A"/>
    <w:rPr>
      <w:color w:val="605E5C"/>
      <w:shd w:val="clear" w:color="auto" w:fill="E1DFDD"/>
    </w:rPr>
  </w:style>
  <w:style w:type="paragraph" w:styleId="Header">
    <w:name w:val="header"/>
    <w:basedOn w:val="Normal"/>
    <w:link w:val="HeaderChar"/>
    <w:uiPriority w:val="99"/>
    <w:unhideWhenUsed/>
    <w:rsid w:val="006A5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97/00005373-200201000-000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x.doi.org/10.4161/jig.1.2.1683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017/S0022215106000661"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3286</Words>
  <Characters>18734</Characters>
  <Application>Microsoft Office Word</Application>
  <DocSecurity>0</DocSecurity>
  <Lines>156</Lines>
  <Paragraphs>43</Paragraphs>
  <ScaleCrop>false</ScaleCrop>
  <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SDI 1084</cp:lastModifiedBy>
  <cp:revision>5</cp:revision>
  <dcterms:created xsi:type="dcterms:W3CDTF">2025-03-15T13:40:00Z</dcterms:created>
  <dcterms:modified xsi:type="dcterms:W3CDTF">2025-03-18T13:08:00Z</dcterms:modified>
</cp:coreProperties>
</file>