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DAB8" w14:textId="77777777" w:rsidR="00D2567F" w:rsidRDefault="003D3F1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Long-Term Effects of FDI on Myanmar’s Economy: Government Transitions and Economic Performance (2000–2024)</w:t>
      </w:r>
    </w:p>
    <w:p w14:paraId="4D67989E" w14:textId="77777777" w:rsidR="00D2567F" w:rsidRDefault="00D2567F">
      <w:pPr>
        <w:spacing w:line="360" w:lineRule="auto"/>
        <w:jc w:val="both"/>
        <w:rPr>
          <w:rFonts w:ascii="Times New Roman" w:eastAsia="Times New Roman" w:hAnsi="Times New Roman" w:cs="Times New Roman"/>
          <w:sz w:val="24"/>
          <w:szCs w:val="24"/>
        </w:rPr>
      </w:pPr>
    </w:p>
    <w:p w14:paraId="1A56C383"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D973177" w14:textId="77777777" w:rsidR="00D2567F" w:rsidRDefault="003D3F1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examines the long-term impact of Foreign Direct Investment (FDI) on Myanmar's economic growth across four government transitions from 2000 to</w:t>
      </w:r>
      <w:r>
        <w:rPr>
          <w:rFonts w:ascii="Times New Roman" w:eastAsia="Times New Roman" w:hAnsi="Times New Roman" w:cs="Times New Roman"/>
          <w:sz w:val="24"/>
          <w:szCs w:val="24"/>
        </w:rPr>
        <w:t xml:space="preserve"> 2024: SPDC, USDP, NLD, and SAC. Using econometric models, including ANOVA, regression analysis, and the Chow test, the study evaluates the relationship between FDI and economic growth while considering key moderating factors such as political stability, h</w:t>
      </w:r>
      <w:r>
        <w:rPr>
          <w:rFonts w:ascii="Times New Roman" w:eastAsia="Times New Roman" w:hAnsi="Times New Roman" w:cs="Times New Roman"/>
          <w:sz w:val="24"/>
          <w:szCs w:val="24"/>
        </w:rPr>
        <w:t>uman capital, inflation, and government expenditure. The findings indicate that FDI significantly contributed to GDP growth, particularly under stable governance, while political instability and inflation weakened its effects. The results highlight a struc</w:t>
      </w:r>
      <w:r>
        <w:rPr>
          <w:rFonts w:ascii="Times New Roman" w:eastAsia="Times New Roman" w:hAnsi="Times New Roman" w:cs="Times New Roman"/>
          <w:sz w:val="24"/>
          <w:szCs w:val="24"/>
        </w:rPr>
        <w:t>tural break in economic performance following the 2021 government transition, with a sharp decline in GDP growth and investor confidence. This is the first study to offer these findings for Myanmar, providing valuable insights for policymakers and investor</w:t>
      </w:r>
      <w:r>
        <w:rPr>
          <w:rFonts w:ascii="Times New Roman" w:eastAsia="Times New Roman" w:hAnsi="Times New Roman" w:cs="Times New Roman"/>
          <w:sz w:val="24"/>
          <w:szCs w:val="24"/>
        </w:rPr>
        <w:t>s aiming to optimize FDI's role in economic development.</w:t>
      </w:r>
    </w:p>
    <w:p w14:paraId="7C515088" w14:textId="77777777" w:rsidR="00D2567F" w:rsidRDefault="003D3F15">
      <w:pPr>
        <w:spacing w:before="240" w:after="24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Keywords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Foreign Direct Investment, Economic Growth, Political Stability, Myanmar, Government Transitions, Structural Break, Investment Policy</w:t>
      </w:r>
    </w:p>
    <w:p w14:paraId="568B7B59" w14:textId="77777777" w:rsidR="00D2567F" w:rsidRDefault="00D2567F">
      <w:pPr>
        <w:spacing w:line="360" w:lineRule="auto"/>
        <w:jc w:val="both"/>
        <w:rPr>
          <w:rFonts w:ascii="Times New Roman" w:eastAsia="Times New Roman" w:hAnsi="Times New Roman" w:cs="Times New Roman"/>
          <w:b/>
          <w:sz w:val="24"/>
          <w:szCs w:val="24"/>
        </w:rPr>
      </w:pPr>
    </w:p>
    <w:p w14:paraId="4007EE9B"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B599205"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Foreign Direct Investment (FDI) has l</w:t>
      </w:r>
      <w:r>
        <w:rPr>
          <w:rFonts w:ascii="Times New Roman" w:eastAsia="Times New Roman" w:hAnsi="Times New Roman" w:cs="Times New Roman"/>
          <w:sz w:val="24"/>
          <w:szCs w:val="24"/>
        </w:rPr>
        <w:t>ong been recognized as a pivotal driver of economic growth, particularly in developing nations. By introducing capital, technology, and managerial expertise, FDI can enhance productivity and stimulate economic development (</w:t>
      </w:r>
      <w:proofErr w:type="spellStart"/>
      <w:r>
        <w:rPr>
          <w:rFonts w:ascii="Times New Roman" w:eastAsia="Times New Roman" w:hAnsi="Times New Roman" w:cs="Times New Roman"/>
          <w:sz w:val="24"/>
          <w:szCs w:val="24"/>
        </w:rPr>
        <w:t>Borensztein</w:t>
      </w:r>
      <w:proofErr w:type="spellEnd"/>
      <w:r>
        <w:rPr>
          <w:rFonts w:ascii="Times New Roman" w:eastAsia="Times New Roman" w:hAnsi="Times New Roman" w:cs="Times New Roman"/>
          <w:sz w:val="24"/>
          <w:szCs w:val="24"/>
        </w:rPr>
        <w:t xml:space="preserve"> et al., 1998). Howeve</w:t>
      </w:r>
      <w:r>
        <w:rPr>
          <w:rFonts w:ascii="Times New Roman" w:eastAsia="Times New Roman" w:hAnsi="Times New Roman" w:cs="Times New Roman"/>
          <w:sz w:val="24"/>
          <w:szCs w:val="24"/>
        </w:rPr>
        <w:t>r, the efficacy of FDI in fostering growth is often contingent upon a country's political stability, human capital, inflation rates, and government expenditure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Hefeker</w:t>
      </w:r>
      <w:proofErr w:type="spellEnd"/>
      <w:r>
        <w:rPr>
          <w:rFonts w:ascii="Times New Roman" w:eastAsia="Times New Roman" w:hAnsi="Times New Roman" w:cs="Times New Roman"/>
          <w:sz w:val="24"/>
          <w:szCs w:val="24"/>
        </w:rPr>
        <w:t>, 2007; Li &amp; Liu, 2005).</w:t>
      </w:r>
    </w:p>
    <w:p w14:paraId="064377E7"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Myanmar's journey with FDI and economic growth offers a</w:t>
      </w:r>
      <w:r>
        <w:rPr>
          <w:rFonts w:ascii="Times New Roman" w:eastAsia="Times New Roman" w:hAnsi="Times New Roman" w:cs="Times New Roman"/>
          <w:sz w:val="24"/>
          <w:szCs w:val="24"/>
        </w:rPr>
        <w:t xml:space="preserve"> compelling case study, especially when examined across its four distinct governmental periods between 2000 and 2024: the State Peace and Development Council (SPDC, 2000–2011), the Union Solidarity and </w:t>
      </w:r>
      <w:r>
        <w:rPr>
          <w:rFonts w:ascii="Times New Roman" w:eastAsia="Times New Roman" w:hAnsi="Times New Roman" w:cs="Times New Roman"/>
          <w:sz w:val="24"/>
          <w:szCs w:val="24"/>
        </w:rPr>
        <w:lastRenderedPageBreak/>
        <w:t>Development Party (USDP, 2011–2016), the National Leag</w:t>
      </w:r>
      <w:r>
        <w:rPr>
          <w:rFonts w:ascii="Times New Roman" w:eastAsia="Times New Roman" w:hAnsi="Times New Roman" w:cs="Times New Roman"/>
          <w:sz w:val="24"/>
          <w:szCs w:val="24"/>
        </w:rPr>
        <w:t>ue for Democracy (NLD, 2016–2021), and the State Administration Council (SAC, 2021–2024). Each administration implemented unique policies that influenced the nation's economic trajectory.</w:t>
      </w:r>
    </w:p>
    <w:p w14:paraId="655B813A"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SPDC era, Myanmar operated under a military junta with li</w:t>
      </w:r>
      <w:r>
        <w:rPr>
          <w:rFonts w:ascii="Times New Roman" w:eastAsia="Times New Roman" w:hAnsi="Times New Roman" w:cs="Times New Roman"/>
          <w:sz w:val="24"/>
          <w:szCs w:val="24"/>
        </w:rPr>
        <w:t xml:space="preserve">mited engagement with the global economy, resulting in economic isolation and minimal FDI inflows (Steinberg, 2010). The subsequent USDP administration initiated significant political and economic reforms, leading to the lifting of international sanctions </w:t>
      </w:r>
      <w:r>
        <w:rPr>
          <w:rFonts w:ascii="Times New Roman" w:eastAsia="Times New Roman" w:hAnsi="Times New Roman" w:cs="Times New Roman"/>
          <w:sz w:val="24"/>
          <w:szCs w:val="24"/>
        </w:rPr>
        <w:t>and a surge in FDI, which contributed to an average annual economic growth rate of 6% between 2011 and 2019 (World Bank, 2020). The NLD government continued these reformist policies, further integrating Myanmar into the global economy. However, the politic</w:t>
      </w:r>
      <w:r>
        <w:rPr>
          <w:rFonts w:ascii="Times New Roman" w:eastAsia="Times New Roman" w:hAnsi="Times New Roman" w:cs="Times New Roman"/>
          <w:sz w:val="24"/>
          <w:szCs w:val="24"/>
        </w:rPr>
        <w:t>al upheaval in 2021, resulting in the establishment of the SAC, led to renewed economic challenges and a decline in FDI inflows (International Crisis Group, 2021).</w:t>
      </w:r>
    </w:p>
    <w:p w14:paraId="027983A3"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comprehensively understand the impact of FDI on Myanmar's economic growth across these ad</w:t>
      </w:r>
      <w:r>
        <w:rPr>
          <w:rFonts w:ascii="Times New Roman" w:eastAsia="Times New Roman" w:hAnsi="Times New Roman" w:cs="Times New Roman"/>
          <w:sz w:val="24"/>
          <w:szCs w:val="24"/>
        </w:rPr>
        <w:t>ministrations, it is essential to consider various determinants:</w:t>
      </w:r>
    </w:p>
    <w:p w14:paraId="0ABBB778" w14:textId="77777777" w:rsidR="00D2567F" w:rsidRDefault="003D3F15">
      <w:pPr>
        <w:numPr>
          <w:ilvl w:val="0"/>
          <w:numId w:val="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FDI as a Percentage of GDP</w:t>
      </w:r>
      <w:r>
        <w:rPr>
          <w:rFonts w:ascii="Times New Roman" w:eastAsia="Times New Roman" w:hAnsi="Times New Roman" w:cs="Times New Roman"/>
          <w:sz w:val="24"/>
          <w:szCs w:val="24"/>
        </w:rPr>
        <w:t>: This metric indicates the relative scale of foreign investment in the economy (UNCTAD, 2020).</w:t>
      </w:r>
      <w:r>
        <w:rPr>
          <w:rFonts w:ascii="Times New Roman" w:eastAsia="Times New Roman" w:hAnsi="Times New Roman" w:cs="Times New Roman"/>
          <w:sz w:val="24"/>
          <w:szCs w:val="24"/>
        </w:rPr>
        <w:br/>
      </w:r>
    </w:p>
    <w:p w14:paraId="5E7A335D" w14:textId="77777777" w:rsidR="00D2567F" w:rsidRDefault="003D3F1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Capital Index (HCI)</w:t>
      </w:r>
      <w:r>
        <w:rPr>
          <w:rFonts w:ascii="Times New Roman" w:eastAsia="Times New Roman" w:hAnsi="Times New Roman" w:cs="Times New Roman"/>
          <w:sz w:val="24"/>
          <w:szCs w:val="24"/>
        </w:rPr>
        <w:t>: A higher HCI suggests a more skilled work</w:t>
      </w:r>
      <w:r>
        <w:rPr>
          <w:rFonts w:ascii="Times New Roman" w:eastAsia="Times New Roman" w:hAnsi="Times New Roman" w:cs="Times New Roman"/>
          <w:sz w:val="24"/>
          <w:szCs w:val="24"/>
        </w:rPr>
        <w:t>force, which can effectively utilize FDI for economic advancement (World Bank, 2020).</w:t>
      </w:r>
      <w:r>
        <w:rPr>
          <w:rFonts w:ascii="Times New Roman" w:eastAsia="Times New Roman" w:hAnsi="Times New Roman" w:cs="Times New Roman"/>
          <w:sz w:val="24"/>
          <w:szCs w:val="24"/>
        </w:rPr>
        <w:br/>
      </w:r>
    </w:p>
    <w:p w14:paraId="11114D2C" w14:textId="77777777" w:rsidR="00D2567F" w:rsidRDefault="003D3F1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Political Stability Index</w:t>
      </w:r>
      <w:r>
        <w:rPr>
          <w:rFonts w:ascii="Times New Roman" w:eastAsia="Times New Roman" w:hAnsi="Times New Roman" w:cs="Times New Roman"/>
          <w:sz w:val="24"/>
          <w:szCs w:val="24"/>
        </w:rPr>
        <w:t>: Stable political environments are more attractive to investors and can enhance the positive effects of FDI (Kaufmann et al., 2010).</w:t>
      </w:r>
      <w:r>
        <w:rPr>
          <w:rFonts w:ascii="Times New Roman" w:eastAsia="Times New Roman" w:hAnsi="Times New Roman" w:cs="Times New Roman"/>
          <w:sz w:val="24"/>
          <w:szCs w:val="24"/>
        </w:rPr>
        <w:br/>
      </w:r>
    </w:p>
    <w:p w14:paraId="5FCA45BB" w14:textId="77777777" w:rsidR="00D2567F" w:rsidRDefault="003D3F15">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Inflation</w:t>
      </w:r>
      <w:r>
        <w:rPr>
          <w:rFonts w:ascii="Times New Roman" w:eastAsia="Times New Roman" w:hAnsi="Times New Roman" w:cs="Times New Roman"/>
          <w:b/>
          <w:sz w:val="24"/>
          <w:szCs w:val="24"/>
        </w:rPr>
        <w:t xml:space="preserve"> Rate (%)</w:t>
      </w:r>
      <w:r>
        <w:rPr>
          <w:rFonts w:ascii="Times New Roman" w:eastAsia="Times New Roman" w:hAnsi="Times New Roman" w:cs="Times New Roman"/>
          <w:sz w:val="24"/>
          <w:szCs w:val="24"/>
        </w:rPr>
        <w:t>: Moderate inflation is conducive to economic growth, while hyperinflation can deter investment (Fischer, 1993).</w:t>
      </w:r>
      <w:r>
        <w:rPr>
          <w:rFonts w:ascii="Times New Roman" w:eastAsia="Times New Roman" w:hAnsi="Times New Roman" w:cs="Times New Roman"/>
          <w:sz w:val="24"/>
          <w:szCs w:val="24"/>
        </w:rPr>
        <w:br/>
      </w:r>
    </w:p>
    <w:p w14:paraId="6DE21257" w14:textId="77777777" w:rsidR="00D2567F" w:rsidRDefault="003D3F15">
      <w:pPr>
        <w:numPr>
          <w:ilvl w:val="0"/>
          <w:numId w:val="1"/>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 Expenditure as a Percentage of GDP</w:t>
      </w:r>
      <w:r>
        <w:rPr>
          <w:rFonts w:ascii="Times New Roman" w:eastAsia="Times New Roman" w:hAnsi="Times New Roman" w:cs="Times New Roman"/>
          <w:sz w:val="24"/>
          <w:szCs w:val="24"/>
        </w:rPr>
        <w:t xml:space="preserve">: This reflects the government's role in the economy, influencing infrastructure and </w:t>
      </w:r>
      <w:r>
        <w:rPr>
          <w:rFonts w:ascii="Times New Roman" w:eastAsia="Times New Roman" w:hAnsi="Times New Roman" w:cs="Times New Roman"/>
          <w:sz w:val="24"/>
          <w:szCs w:val="24"/>
        </w:rPr>
        <w:t>public services that support economic activities (Barro, 1990).</w:t>
      </w:r>
      <w:r>
        <w:rPr>
          <w:rFonts w:ascii="Times New Roman" w:eastAsia="Times New Roman" w:hAnsi="Times New Roman" w:cs="Times New Roman"/>
          <w:sz w:val="24"/>
          <w:szCs w:val="24"/>
        </w:rPr>
        <w:br/>
      </w:r>
    </w:p>
    <w:p w14:paraId="14E673AB"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Existing literature underscores the significance of these variables. For instance, studies have found that FDI positively impacts economic growth, with human capital and political stability f</w:t>
      </w:r>
      <w:r>
        <w:rPr>
          <w:rFonts w:ascii="Times New Roman" w:eastAsia="Times New Roman" w:hAnsi="Times New Roman" w:cs="Times New Roman"/>
          <w:sz w:val="24"/>
          <w:szCs w:val="24"/>
        </w:rPr>
        <w:t>urther enhancing this effect (</w:t>
      </w:r>
      <w:proofErr w:type="spellStart"/>
      <w:r>
        <w:rPr>
          <w:rFonts w:ascii="Times New Roman" w:eastAsia="Times New Roman" w:hAnsi="Times New Roman" w:cs="Times New Roman"/>
          <w:sz w:val="24"/>
          <w:szCs w:val="24"/>
        </w:rPr>
        <w:t>Borensztein</w:t>
      </w:r>
      <w:proofErr w:type="spellEnd"/>
      <w:r>
        <w:rPr>
          <w:rFonts w:ascii="Times New Roman" w:eastAsia="Times New Roman" w:hAnsi="Times New Roman" w:cs="Times New Roman"/>
          <w:sz w:val="24"/>
          <w:szCs w:val="24"/>
        </w:rPr>
        <w:t xml:space="preserve"> et al., 1998;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Hefeker</w:t>
      </w:r>
      <w:proofErr w:type="spellEnd"/>
      <w:r>
        <w:rPr>
          <w:rFonts w:ascii="Times New Roman" w:eastAsia="Times New Roman" w:hAnsi="Times New Roman" w:cs="Times New Roman"/>
          <w:sz w:val="24"/>
          <w:szCs w:val="24"/>
        </w:rPr>
        <w:t>, 2007). Conversely, high inflation and excessive government expenditure were found to diminish the benefits of FDI (</w:t>
      </w:r>
      <w:proofErr w:type="spellStart"/>
      <w:r>
        <w:rPr>
          <w:rFonts w:ascii="Times New Roman" w:eastAsia="Times New Roman" w:hAnsi="Times New Roman" w:cs="Times New Roman"/>
          <w:sz w:val="24"/>
          <w:szCs w:val="24"/>
        </w:rPr>
        <w:t>Carkovic</w:t>
      </w:r>
      <w:proofErr w:type="spellEnd"/>
      <w:r>
        <w:rPr>
          <w:rFonts w:ascii="Times New Roman" w:eastAsia="Times New Roman" w:hAnsi="Times New Roman" w:cs="Times New Roman"/>
          <w:sz w:val="24"/>
          <w:szCs w:val="24"/>
        </w:rPr>
        <w:t xml:space="preserve"> &amp; Levine, 2002; Durham, 2004). Additionally, political stab</w:t>
      </w:r>
      <w:r>
        <w:rPr>
          <w:rFonts w:ascii="Times New Roman" w:eastAsia="Times New Roman" w:hAnsi="Times New Roman" w:cs="Times New Roman"/>
          <w:sz w:val="24"/>
          <w:szCs w:val="24"/>
        </w:rPr>
        <w:t>ility has been identified as a crucial factor in attracting FDI, which in turn stimulates economic growth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Hefeker</w:t>
      </w:r>
      <w:proofErr w:type="spellEnd"/>
      <w:r>
        <w:rPr>
          <w:rFonts w:ascii="Times New Roman" w:eastAsia="Times New Roman" w:hAnsi="Times New Roman" w:cs="Times New Roman"/>
          <w:sz w:val="24"/>
          <w:szCs w:val="24"/>
        </w:rPr>
        <w:t>, 2007).</w:t>
      </w:r>
    </w:p>
    <w:p w14:paraId="67F01580"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analyze the differential impacts of FDI on Myanmar's economic growth across the four governmental periods,</w:t>
      </w:r>
      <w:r>
        <w:rPr>
          <w:rFonts w:ascii="Times New Roman" w:eastAsia="Times New Roman" w:hAnsi="Times New Roman" w:cs="Times New Roman"/>
          <w:sz w:val="24"/>
          <w:szCs w:val="24"/>
        </w:rPr>
        <w:t xml:space="preserve"> considering the aforementioned variables. By employing econometric models, we seek to elucidate how each administration's policies and the prevailing political and economic conditions influenced the effectiveness of FDI in promoting economic growth.</w:t>
      </w:r>
    </w:p>
    <w:p w14:paraId="0075BA0D" w14:textId="77777777" w:rsidR="00D2567F" w:rsidRDefault="00D2567F">
      <w:pPr>
        <w:spacing w:line="360" w:lineRule="auto"/>
        <w:ind w:firstLine="720"/>
        <w:jc w:val="both"/>
        <w:rPr>
          <w:rFonts w:ascii="Times New Roman" w:eastAsia="Times New Roman" w:hAnsi="Times New Roman" w:cs="Times New Roman"/>
          <w:sz w:val="24"/>
          <w:szCs w:val="24"/>
        </w:rPr>
      </w:pPr>
    </w:p>
    <w:p w14:paraId="3F6F4370"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w:t>
      </w:r>
      <w:r>
        <w:rPr>
          <w:rFonts w:ascii="Times New Roman" w:eastAsia="Times New Roman" w:hAnsi="Times New Roman" w:cs="Times New Roman"/>
          <w:b/>
          <w:sz w:val="24"/>
          <w:szCs w:val="24"/>
        </w:rPr>
        <w:t>aterial and Method</w:t>
      </w:r>
    </w:p>
    <w:p w14:paraId="2A7AFACE"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Research Design</w:t>
      </w:r>
    </w:p>
    <w:p w14:paraId="4AF46AFB"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employs a quantitative research design to analyze the impact of Foreign Direct Investment (FDI) on Myanmar's economic growth across four distinct governmental periods: SPDC (2000–2011), USDP (2011–2016), NL</w:t>
      </w:r>
      <w:r>
        <w:rPr>
          <w:rFonts w:ascii="Times New Roman" w:eastAsia="Times New Roman" w:hAnsi="Times New Roman" w:cs="Times New Roman"/>
          <w:sz w:val="24"/>
          <w:szCs w:val="24"/>
        </w:rPr>
        <w:t>D (2016–2021), and SAC (2021–2024). By utilizing econometric modeling techniques, the research aims to establish causal relationships between FDI and economic growth, considering various control variables.</w:t>
      </w:r>
    </w:p>
    <w:p w14:paraId="1DB8F73A"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Data Collection</w:t>
      </w:r>
    </w:p>
    <w:p w14:paraId="5BF12FF4"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utilizes annual time</w:t>
      </w:r>
      <w:r>
        <w:rPr>
          <w:rFonts w:ascii="Times New Roman" w:eastAsia="Times New Roman" w:hAnsi="Times New Roman" w:cs="Times New Roman"/>
          <w:sz w:val="24"/>
          <w:szCs w:val="24"/>
        </w:rPr>
        <w:t>-series data from 2000 to 2024, sourced from reputable databases such as the World Bank, International Monetary Fund (IMF), and Myanmar's Central Statistical Organization. Key variables include GDP growth rate, FDI as a percentage of GDP, Human Capital Ind</w:t>
      </w:r>
      <w:r>
        <w:rPr>
          <w:rFonts w:ascii="Times New Roman" w:eastAsia="Times New Roman" w:hAnsi="Times New Roman" w:cs="Times New Roman"/>
          <w:sz w:val="24"/>
          <w:szCs w:val="24"/>
        </w:rPr>
        <w:t>ex (HCI), Political Stability Index, inflation rate, and government expenditure as a percentage of GDP.</w:t>
      </w:r>
    </w:p>
    <w:p w14:paraId="4EC99335"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Variables</w:t>
      </w:r>
    </w:p>
    <w:p w14:paraId="262143DA"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dependent variable in this study is economic growth, measured by the annual percentage change in GDP. The independent variables includ</w:t>
      </w:r>
      <w:r>
        <w:rPr>
          <w:rFonts w:ascii="Times New Roman" w:eastAsia="Times New Roman" w:hAnsi="Times New Roman" w:cs="Times New Roman"/>
          <w:sz w:val="24"/>
          <w:szCs w:val="24"/>
        </w:rPr>
        <w:t xml:space="preserve">e FDI as a percentage of GDP, which reflects the scale of foreign investment relative to the economy, and the Human Capital Index </w:t>
      </w:r>
      <w:r>
        <w:rPr>
          <w:rFonts w:ascii="Times New Roman" w:eastAsia="Times New Roman" w:hAnsi="Times New Roman" w:cs="Times New Roman"/>
          <w:sz w:val="24"/>
          <w:szCs w:val="24"/>
        </w:rPr>
        <w:lastRenderedPageBreak/>
        <w:t>(HCI), which represents the population’s education and health status. Additionally, the Political Stability Index assesses the</w:t>
      </w:r>
      <w:r>
        <w:rPr>
          <w:rFonts w:ascii="Times New Roman" w:eastAsia="Times New Roman" w:hAnsi="Times New Roman" w:cs="Times New Roman"/>
          <w:sz w:val="24"/>
          <w:szCs w:val="24"/>
        </w:rPr>
        <w:t xml:space="preserve"> likelihood of instability or political unrest, while the Inflation Rate (%) measures the annual percentage change in consumer prices. Lastly, government expenditure as a percentage of GDP indicates the extent of fiscal involvement in the economy, influenc</w:t>
      </w:r>
      <w:r>
        <w:rPr>
          <w:rFonts w:ascii="Times New Roman" w:eastAsia="Times New Roman" w:hAnsi="Times New Roman" w:cs="Times New Roman"/>
          <w:sz w:val="24"/>
          <w:szCs w:val="24"/>
        </w:rPr>
        <w:t>ing infrastructure, public services, and overall economic performance.</w:t>
      </w:r>
    </w:p>
    <w:p w14:paraId="6534D5BD" w14:textId="77777777" w:rsidR="00D2567F" w:rsidRDefault="00D2567F">
      <w:pPr>
        <w:spacing w:line="360" w:lineRule="auto"/>
        <w:jc w:val="both"/>
        <w:rPr>
          <w:rFonts w:ascii="Times New Roman" w:eastAsia="Times New Roman" w:hAnsi="Times New Roman" w:cs="Times New Roman"/>
          <w:sz w:val="24"/>
          <w:szCs w:val="24"/>
        </w:rPr>
      </w:pPr>
    </w:p>
    <w:p w14:paraId="36F8A1CE"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Hypothesis</w:t>
      </w:r>
    </w:p>
    <w:p w14:paraId="7B64361F"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hypothesizes that the impact of Foreign Direct Investment (FDI) on Myanmar’s economic growth differs across the four governmental periods (SPDC, USDP, NLD, an</w:t>
      </w:r>
      <w:r>
        <w:rPr>
          <w:rFonts w:ascii="Times New Roman" w:eastAsia="Times New Roman" w:hAnsi="Times New Roman" w:cs="Times New Roman"/>
          <w:sz w:val="24"/>
          <w:szCs w:val="24"/>
        </w:rPr>
        <w:t>d SAC) due to variations in political stability, human capital, inflation, and government expenditure. The specific hypotheses are as follows:</w:t>
      </w:r>
    </w:p>
    <w:p w14:paraId="4E7D3EBE" w14:textId="77777777" w:rsidR="00D2567F" w:rsidRDefault="003D3F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The effect of FDI on economic growth varies significantly across the four government periods (2000–2024).</w:t>
      </w:r>
    </w:p>
    <w:p w14:paraId="35DCE60D" w14:textId="77777777" w:rsidR="00D2567F" w:rsidRDefault="003D3F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w:t>
      </w:r>
      <w:r>
        <w:rPr>
          <w:rFonts w:ascii="Times New Roman" w:eastAsia="Times New Roman" w:hAnsi="Times New Roman" w:cs="Times New Roman"/>
          <w:sz w:val="24"/>
          <w:szCs w:val="24"/>
        </w:rPr>
        <w:t xml:space="preserve"> Political stability positively influences economic growth, and its impact on FDI effectiveness differs across the four governments.</w:t>
      </w:r>
    </w:p>
    <w:p w14:paraId="76725131" w14:textId="77777777" w:rsidR="00D2567F" w:rsidRDefault="003D3F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Higher levels of human capital enhance the positive impact of FDI on economic growth, and this effect varies across the</w:t>
      </w:r>
      <w:r>
        <w:rPr>
          <w:rFonts w:ascii="Times New Roman" w:eastAsia="Times New Roman" w:hAnsi="Times New Roman" w:cs="Times New Roman"/>
          <w:sz w:val="24"/>
          <w:szCs w:val="24"/>
        </w:rPr>
        <w:t xml:space="preserve"> four government periods.</w:t>
      </w:r>
    </w:p>
    <w:p w14:paraId="1AA1C827" w14:textId="77777777" w:rsidR="00D2567F" w:rsidRDefault="003D3F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H4: Inflation negatively moderates the impact of FDI on economic growth, with varying degrees of influence under different administrations.</w:t>
      </w:r>
    </w:p>
    <w:p w14:paraId="4B8843AE" w14:textId="77777777" w:rsidR="00D2567F" w:rsidRDefault="003D3F1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H5: Government expenditure influences the effectiveness of FDI in driving economic growth,</w:t>
      </w:r>
      <w:r>
        <w:rPr>
          <w:rFonts w:ascii="Times New Roman" w:eastAsia="Times New Roman" w:hAnsi="Times New Roman" w:cs="Times New Roman"/>
          <w:sz w:val="24"/>
          <w:szCs w:val="24"/>
        </w:rPr>
        <w:t xml:space="preserve"> with variations observed across the four government periods.</w:t>
      </w:r>
    </w:p>
    <w:p w14:paraId="459936F0"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hypotheses aim to examine whether political and economic conditions under different administrations significantly influenced the relationship between FDI and economic growth in Myanmar.</w:t>
      </w:r>
    </w:p>
    <w:p w14:paraId="21DD6F07" w14:textId="77777777" w:rsidR="00D2567F" w:rsidRDefault="00D2567F">
      <w:pPr>
        <w:spacing w:line="360" w:lineRule="auto"/>
        <w:jc w:val="both"/>
        <w:rPr>
          <w:rFonts w:ascii="Times New Roman" w:eastAsia="Times New Roman" w:hAnsi="Times New Roman" w:cs="Times New Roman"/>
          <w:sz w:val="24"/>
          <w:szCs w:val="24"/>
        </w:rPr>
      </w:pPr>
    </w:p>
    <w:p w14:paraId="46F93137" w14:textId="77777777" w:rsidR="00D2567F" w:rsidRDefault="003D3F15">
      <w:pPr>
        <w:spacing w:line="360" w:lineRule="auto"/>
        <w:jc w:val="both"/>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3. The Impact of Four Governments on Myanmar's Economic Performance (2000–2024)</w:t>
      </w:r>
    </w:p>
    <w:p w14:paraId="60E1E45E" w14:textId="77777777" w:rsidR="00D2567F" w:rsidRDefault="003D3F15">
      <w:pPr>
        <w:pStyle w:val="Heading3"/>
        <w:keepNext w:val="0"/>
        <w:keepLines w:val="0"/>
        <w:spacing w:before="0" w:after="0" w:line="360" w:lineRule="auto"/>
        <w:jc w:val="both"/>
        <w:rPr>
          <w:rFonts w:ascii="Times New Roman" w:eastAsia="Times New Roman" w:hAnsi="Times New Roman" w:cs="Times New Roman"/>
          <w:b/>
          <w:color w:val="404040"/>
          <w:sz w:val="24"/>
          <w:szCs w:val="24"/>
        </w:rPr>
      </w:pPr>
      <w:bookmarkStart w:id="0" w:name="_heading=h.gjdgxs" w:colFirst="0" w:colLast="0"/>
      <w:bookmarkEnd w:id="0"/>
      <w:r>
        <w:rPr>
          <w:rFonts w:ascii="Times New Roman" w:eastAsia="Times New Roman" w:hAnsi="Times New Roman" w:cs="Times New Roman"/>
          <w:b/>
          <w:color w:val="404040"/>
          <w:sz w:val="24"/>
          <w:szCs w:val="24"/>
        </w:rPr>
        <w:t>3.1. ANOVA Results</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991"/>
        <w:gridCol w:w="1181"/>
        <w:gridCol w:w="966"/>
        <w:gridCol w:w="1642"/>
        <w:gridCol w:w="3580"/>
      </w:tblGrid>
      <w:tr w:rsidR="00D2567F" w14:paraId="026A7FD5" w14:textId="77777777">
        <w:trPr>
          <w:trHeight w:val="875"/>
        </w:trPr>
        <w:tc>
          <w:tcPr>
            <w:tcW w:w="1990" w:type="dxa"/>
            <w:tcBorders>
              <w:top w:val="single" w:sz="4" w:space="0" w:color="404040"/>
              <w:left w:val="nil"/>
              <w:bottom w:val="single" w:sz="4" w:space="0" w:color="404040"/>
              <w:right w:val="nil"/>
            </w:tcBorders>
            <w:tcMar>
              <w:top w:w="100" w:type="dxa"/>
              <w:left w:w="0" w:type="dxa"/>
              <w:bottom w:w="100" w:type="dxa"/>
              <w:right w:w="100" w:type="dxa"/>
            </w:tcMar>
          </w:tcPr>
          <w:p w14:paraId="5502DEB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Economic Indicator</w:t>
            </w:r>
          </w:p>
        </w:tc>
        <w:tc>
          <w:tcPr>
            <w:tcW w:w="1181" w:type="dxa"/>
            <w:tcBorders>
              <w:top w:val="single" w:sz="4" w:space="0" w:color="404040"/>
              <w:left w:val="nil"/>
              <w:bottom w:val="single" w:sz="4" w:space="0" w:color="404040"/>
              <w:right w:val="nil"/>
            </w:tcBorders>
            <w:tcMar>
              <w:top w:w="100" w:type="dxa"/>
              <w:left w:w="100" w:type="dxa"/>
              <w:bottom w:w="100" w:type="dxa"/>
              <w:right w:w="100" w:type="dxa"/>
            </w:tcMar>
          </w:tcPr>
          <w:p w14:paraId="6A27C46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F-statistic</w:t>
            </w:r>
          </w:p>
        </w:tc>
        <w:tc>
          <w:tcPr>
            <w:tcW w:w="966" w:type="dxa"/>
            <w:tcBorders>
              <w:top w:val="single" w:sz="4" w:space="0" w:color="404040"/>
              <w:left w:val="nil"/>
              <w:bottom w:val="single" w:sz="4" w:space="0" w:color="404040"/>
              <w:right w:val="nil"/>
            </w:tcBorders>
            <w:tcMar>
              <w:top w:w="100" w:type="dxa"/>
              <w:left w:w="100" w:type="dxa"/>
              <w:bottom w:w="100" w:type="dxa"/>
              <w:right w:w="100" w:type="dxa"/>
            </w:tcMar>
          </w:tcPr>
          <w:p w14:paraId="12A6E27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p-value</w:t>
            </w:r>
          </w:p>
        </w:tc>
        <w:tc>
          <w:tcPr>
            <w:tcW w:w="1641" w:type="dxa"/>
            <w:tcBorders>
              <w:top w:val="single" w:sz="4" w:space="0" w:color="404040"/>
              <w:left w:val="nil"/>
              <w:bottom w:val="single" w:sz="4" w:space="0" w:color="404040"/>
              <w:right w:val="nil"/>
            </w:tcBorders>
            <w:tcMar>
              <w:top w:w="100" w:type="dxa"/>
              <w:left w:w="100" w:type="dxa"/>
              <w:bottom w:w="100" w:type="dxa"/>
              <w:right w:w="100" w:type="dxa"/>
            </w:tcMar>
          </w:tcPr>
          <w:p w14:paraId="274B8FE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Significance</w:t>
            </w:r>
          </w:p>
        </w:tc>
        <w:tc>
          <w:tcPr>
            <w:tcW w:w="3579" w:type="dxa"/>
            <w:tcBorders>
              <w:top w:val="single" w:sz="4" w:space="0" w:color="404040"/>
              <w:left w:val="nil"/>
              <w:bottom w:val="single" w:sz="4" w:space="0" w:color="404040"/>
              <w:right w:val="nil"/>
            </w:tcBorders>
            <w:tcMar>
              <w:top w:w="100" w:type="dxa"/>
              <w:left w:w="100" w:type="dxa"/>
              <w:bottom w:w="100" w:type="dxa"/>
              <w:right w:w="100" w:type="dxa"/>
            </w:tcMar>
          </w:tcPr>
          <w:p w14:paraId="18DD71F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Conclusion</w:t>
            </w:r>
          </w:p>
        </w:tc>
      </w:tr>
      <w:tr w:rsidR="00D2567F" w14:paraId="5A9CB22C" w14:textId="77777777">
        <w:trPr>
          <w:trHeight w:val="875"/>
        </w:trPr>
        <w:tc>
          <w:tcPr>
            <w:tcW w:w="1990" w:type="dxa"/>
            <w:tcBorders>
              <w:top w:val="single" w:sz="4" w:space="0" w:color="404040"/>
              <w:left w:val="nil"/>
              <w:bottom w:val="nil"/>
              <w:right w:val="nil"/>
            </w:tcBorders>
            <w:tcMar>
              <w:top w:w="100" w:type="dxa"/>
              <w:left w:w="0" w:type="dxa"/>
              <w:bottom w:w="100" w:type="dxa"/>
              <w:right w:w="100" w:type="dxa"/>
            </w:tcMar>
          </w:tcPr>
          <w:p w14:paraId="4AB6B31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GDP Growth Rate (%)</w:t>
            </w:r>
          </w:p>
        </w:tc>
        <w:tc>
          <w:tcPr>
            <w:tcW w:w="1181" w:type="dxa"/>
            <w:tcBorders>
              <w:top w:val="single" w:sz="4" w:space="0" w:color="404040"/>
              <w:left w:val="nil"/>
              <w:bottom w:val="nil"/>
              <w:right w:val="nil"/>
            </w:tcBorders>
            <w:tcMar>
              <w:top w:w="100" w:type="dxa"/>
              <w:left w:w="100" w:type="dxa"/>
              <w:bottom w:w="100" w:type="dxa"/>
              <w:right w:w="100" w:type="dxa"/>
            </w:tcMar>
          </w:tcPr>
          <w:p w14:paraId="5E0179B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12.45</w:t>
            </w:r>
          </w:p>
        </w:tc>
        <w:tc>
          <w:tcPr>
            <w:tcW w:w="966" w:type="dxa"/>
            <w:tcBorders>
              <w:top w:val="single" w:sz="4" w:space="0" w:color="404040"/>
              <w:left w:val="nil"/>
              <w:bottom w:val="nil"/>
              <w:right w:val="nil"/>
            </w:tcBorders>
            <w:tcMar>
              <w:top w:w="100" w:type="dxa"/>
              <w:left w:w="100" w:type="dxa"/>
              <w:bottom w:w="100" w:type="dxa"/>
              <w:right w:w="100" w:type="dxa"/>
            </w:tcMar>
          </w:tcPr>
          <w:p w14:paraId="79A70B5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641" w:type="dxa"/>
            <w:tcBorders>
              <w:top w:val="single" w:sz="4" w:space="0" w:color="404040"/>
              <w:left w:val="nil"/>
              <w:bottom w:val="nil"/>
              <w:right w:val="nil"/>
            </w:tcBorders>
            <w:tcMar>
              <w:top w:w="100" w:type="dxa"/>
              <w:left w:w="100" w:type="dxa"/>
              <w:bottom w:w="100" w:type="dxa"/>
              <w:right w:w="100" w:type="dxa"/>
            </w:tcMar>
          </w:tcPr>
          <w:p w14:paraId="186BDD3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3579" w:type="dxa"/>
            <w:tcBorders>
              <w:top w:val="single" w:sz="4" w:space="0" w:color="404040"/>
              <w:left w:val="nil"/>
              <w:bottom w:val="nil"/>
              <w:right w:val="nil"/>
            </w:tcBorders>
            <w:tcMar>
              <w:top w:w="100" w:type="dxa"/>
              <w:left w:w="100" w:type="dxa"/>
              <w:bottom w:w="100" w:type="dxa"/>
              <w:right w:w="100" w:type="dxa"/>
            </w:tcMar>
          </w:tcPr>
          <w:p w14:paraId="7D12F06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GDP growth differs across governments.</w:t>
            </w:r>
          </w:p>
        </w:tc>
      </w:tr>
      <w:tr w:rsidR="00D2567F" w14:paraId="1BB81501" w14:textId="77777777">
        <w:trPr>
          <w:trHeight w:val="545"/>
        </w:trPr>
        <w:tc>
          <w:tcPr>
            <w:tcW w:w="1990" w:type="dxa"/>
            <w:tcBorders>
              <w:top w:val="nil"/>
              <w:left w:val="nil"/>
              <w:bottom w:val="nil"/>
              <w:right w:val="nil"/>
            </w:tcBorders>
            <w:tcMar>
              <w:top w:w="100" w:type="dxa"/>
              <w:left w:w="0" w:type="dxa"/>
              <w:bottom w:w="100" w:type="dxa"/>
              <w:right w:w="100" w:type="dxa"/>
            </w:tcMar>
          </w:tcPr>
          <w:p w14:paraId="486C226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FDI as %</w:t>
            </w:r>
            <w:r>
              <w:rPr>
                <w:rFonts w:ascii="Times New Roman" w:eastAsia="Times New Roman" w:hAnsi="Times New Roman" w:cs="Times New Roman"/>
                <w:color w:val="404040"/>
                <w:sz w:val="24"/>
                <w:szCs w:val="24"/>
              </w:rPr>
              <w:t xml:space="preserve"> of GDP</w:t>
            </w:r>
          </w:p>
        </w:tc>
        <w:tc>
          <w:tcPr>
            <w:tcW w:w="1181" w:type="dxa"/>
            <w:tcBorders>
              <w:top w:val="nil"/>
              <w:left w:val="nil"/>
              <w:bottom w:val="nil"/>
              <w:right w:val="nil"/>
            </w:tcBorders>
            <w:tcMar>
              <w:top w:w="100" w:type="dxa"/>
              <w:left w:w="100" w:type="dxa"/>
              <w:bottom w:w="100" w:type="dxa"/>
              <w:right w:w="100" w:type="dxa"/>
            </w:tcMar>
          </w:tcPr>
          <w:p w14:paraId="777133F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8.32</w:t>
            </w:r>
          </w:p>
        </w:tc>
        <w:tc>
          <w:tcPr>
            <w:tcW w:w="966" w:type="dxa"/>
            <w:tcBorders>
              <w:top w:val="nil"/>
              <w:left w:val="nil"/>
              <w:bottom w:val="nil"/>
              <w:right w:val="nil"/>
            </w:tcBorders>
            <w:tcMar>
              <w:top w:w="100" w:type="dxa"/>
              <w:left w:w="100" w:type="dxa"/>
              <w:bottom w:w="100" w:type="dxa"/>
              <w:right w:w="100" w:type="dxa"/>
            </w:tcMar>
          </w:tcPr>
          <w:p w14:paraId="4CE292E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0.002</w:t>
            </w:r>
          </w:p>
        </w:tc>
        <w:tc>
          <w:tcPr>
            <w:tcW w:w="1641" w:type="dxa"/>
            <w:tcBorders>
              <w:top w:val="nil"/>
              <w:left w:val="nil"/>
              <w:bottom w:val="nil"/>
              <w:right w:val="nil"/>
            </w:tcBorders>
            <w:tcMar>
              <w:top w:w="100" w:type="dxa"/>
              <w:left w:w="100" w:type="dxa"/>
              <w:bottom w:w="100" w:type="dxa"/>
              <w:right w:w="100" w:type="dxa"/>
            </w:tcMar>
          </w:tcPr>
          <w:p w14:paraId="2B2B30A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3579" w:type="dxa"/>
            <w:tcBorders>
              <w:top w:val="nil"/>
              <w:left w:val="nil"/>
              <w:bottom w:val="nil"/>
              <w:right w:val="nil"/>
            </w:tcBorders>
            <w:tcMar>
              <w:top w:w="100" w:type="dxa"/>
              <w:left w:w="100" w:type="dxa"/>
              <w:bottom w:w="100" w:type="dxa"/>
              <w:right w:w="100" w:type="dxa"/>
            </w:tcMar>
          </w:tcPr>
          <w:p w14:paraId="32F5D34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FDI differs across governments.</w:t>
            </w:r>
          </w:p>
        </w:tc>
      </w:tr>
      <w:tr w:rsidR="00D2567F" w14:paraId="10BA73AB" w14:textId="77777777">
        <w:trPr>
          <w:trHeight w:val="845"/>
        </w:trPr>
        <w:tc>
          <w:tcPr>
            <w:tcW w:w="1990" w:type="dxa"/>
            <w:tcBorders>
              <w:top w:val="nil"/>
              <w:left w:val="nil"/>
              <w:bottom w:val="single" w:sz="4" w:space="0" w:color="404040"/>
              <w:right w:val="nil"/>
            </w:tcBorders>
            <w:tcMar>
              <w:top w:w="100" w:type="dxa"/>
              <w:left w:w="0" w:type="dxa"/>
              <w:bottom w:w="100" w:type="dxa"/>
              <w:right w:w="100" w:type="dxa"/>
            </w:tcMar>
          </w:tcPr>
          <w:p w14:paraId="000A8DA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Inflation Rate (%)</w:t>
            </w:r>
          </w:p>
        </w:tc>
        <w:tc>
          <w:tcPr>
            <w:tcW w:w="1181" w:type="dxa"/>
            <w:tcBorders>
              <w:top w:val="nil"/>
              <w:left w:val="nil"/>
              <w:bottom w:val="single" w:sz="4" w:space="0" w:color="404040"/>
              <w:right w:val="nil"/>
            </w:tcBorders>
            <w:tcMar>
              <w:top w:w="100" w:type="dxa"/>
              <w:left w:w="100" w:type="dxa"/>
              <w:bottom w:w="100" w:type="dxa"/>
              <w:right w:w="100" w:type="dxa"/>
            </w:tcMar>
          </w:tcPr>
          <w:p w14:paraId="2FE8DB5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3.45</w:t>
            </w:r>
          </w:p>
        </w:tc>
        <w:tc>
          <w:tcPr>
            <w:tcW w:w="966" w:type="dxa"/>
            <w:tcBorders>
              <w:top w:val="nil"/>
              <w:left w:val="nil"/>
              <w:bottom w:val="single" w:sz="4" w:space="0" w:color="404040"/>
              <w:right w:val="nil"/>
            </w:tcBorders>
            <w:tcMar>
              <w:top w:w="100" w:type="dxa"/>
              <w:left w:w="100" w:type="dxa"/>
              <w:bottom w:w="100" w:type="dxa"/>
              <w:right w:w="100" w:type="dxa"/>
            </w:tcMar>
          </w:tcPr>
          <w:p w14:paraId="13328D3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0.056</w:t>
            </w:r>
          </w:p>
        </w:tc>
        <w:tc>
          <w:tcPr>
            <w:tcW w:w="1641" w:type="dxa"/>
            <w:tcBorders>
              <w:top w:val="nil"/>
              <w:left w:val="nil"/>
              <w:bottom w:val="single" w:sz="4" w:space="0" w:color="404040"/>
              <w:right w:val="nil"/>
            </w:tcBorders>
            <w:tcMar>
              <w:top w:w="100" w:type="dxa"/>
              <w:left w:w="100" w:type="dxa"/>
              <w:bottom w:w="100" w:type="dxa"/>
              <w:right w:w="100" w:type="dxa"/>
            </w:tcMar>
          </w:tcPr>
          <w:p w14:paraId="15614A5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Not Significant</w:t>
            </w:r>
          </w:p>
        </w:tc>
        <w:tc>
          <w:tcPr>
            <w:tcW w:w="3579" w:type="dxa"/>
            <w:tcBorders>
              <w:top w:val="nil"/>
              <w:left w:val="nil"/>
              <w:bottom w:val="single" w:sz="4" w:space="0" w:color="404040"/>
              <w:right w:val="nil"/>
            </w:tcBorders>
            <w:tcMar>
              <w:top w:w="100" w:type="dxa"/>
              <w:left w:w="100" w:type="dxa"/>
              <w:bottom w:w="100" w:type="dxa"/>
              <w:right w:w="100" w:type="dxa"/>
            </w:tcMar>
          </w:tcPr>
          <w:p w14:paraId="506D6B4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Inflation does not differ significantly.</w:t>
            </w:r>
          </w:p>
        </w:tc>
      </w:tr>
    </w:tbl>
    <w:p w14:paraId="5BF422EA" w14:textId="77777777" w:rsidR="00D2567F" w:rsidRDefault="003D3F15">
      <w:pPr>
        <w:pStyle w:val="Heading3"/>
        <w:keepNext w:val="0"/>
        <w:keepLines w:val="0"/>
        <w:spacing w:before="0" w:after="0" w:line="360" w:lineRule="auto"/>
        <w:ind w:firstLine="720"/>
        <w:jc w:val="both"/>
        <w:rPr>
          <w:rFonts w:ascii="Times New Roman" w:eastAsia="Times New Roman" w:hAnsi="Times New Roman" w:cs="Times New Roman"/>
          <w:color w:val="404040"/>
          <w:sz w:val="24"/>
          <w:szCs w:val="24"/>
        </w:rPr>
      </w:pPr>
      <w:bookmarkStart w:id="1" w:name="_heading=h.30j0zll" w:colFirst="0" w:colLast="0"/>
      <w:bookmarkEnd w:id="1"/>
      <w:r>
        <w:rPr>
          <w:rFonts w:ascii="Times New Roman" w:eastAsia="Times New Roman" w:hAnsi="Times New Roman" w:cs="Times New Roman"/>
          <w:color w:val="404040"/>
          <w:sz w:val="24"/>
          <w:szCs w:val="24"/>
        </w:rPr>
        <w:t>ANOVA results reveal significant differences in GDP Growth Rate (%) and FDI as % of GDP across Myanmar’s</w:t>
      </w:r>
      <w:r>
        <w:rPr>
          <w:rFonts w:ascii="Times New Roman" w:eastAsia="Times New Roman" w:hAnsi="Times New Roman" w:cs="Times New Roman"/>
          <w:color w:val="404040"/>
          <w:sz w:val="24"/>
          <w:szCs w:val="24"/>
        </w:rPr>
        <w:t xml:space="preserve"> four governments (SPDC, USDP, NLD, and SAC), while inflation remains stable.</w:t>
      </w:r>
    </w:p>
    <w:p w14:paraId="3FEC42E6" w14:textId="77777777" w:rsidR="00D2567F" w:rsidRDefault="003D3F15">
      <w:pPr>
        <w:pStyle w:val="Heading3"/>
        <w:keepNext w:val="0"/>
        <w:keepLines w:val="0"/>
        <w:spacing w:before="0" w:after="0" w:line="360" w:lineRule="auto"/>
        <w:ind w:firstLine="720"/>
        <w:jc w:val="both"/>
        <w:rPr>
          <w:rFonts w:ascii="Times New Roman" w:eastAsia="Times New Roman" w:hAnsi="Times New Roman" w:cs="Times New Roman"/>
          <w:color w:val="404040"/>
          <w:sz w:val="24"/>
          <w:szCs w:val="24"/>
        </w:rPr>
      </w:pPr>
      <w:bookmarkStart w:id="2" w:name="_heading=h.1fob9te" w:colFirst="0" w:colLast="0"/>
      <w:bookmarkEnd w:id="2"/>
      <w:r>
        <w:rPr>
          <w:rFonts w:ascii="Times New Roman" w:eastAsia="Times New Roman" w:hAnsi="Times New Roman" w:cs="Times New Roman"/>
          <w:color w:val="404040"/>
          <w:sz w:val="24"/>
          <w:szCs w:val="24"/>
        </w:rPr>
        <w:t>For GDP Growth Rate (%), the F-statistic of 12.45 (p &lt; 0.001) confirms substantial variations, reflecting the impact of governance and policies. The NLD (2016–2021) experienced h</w:t>
      </w:r>
      <w:r>
        <w:rPr>
          <w:rFonts w:ascii="Times New Roman" w:eastAsia="Times New Roman" w:hAnsi="Times New Roman" w:cs="Times New Roman"/>
          <w:color w:val="404040"/>
          <w:sz w:val="24"/>
          <w:szCs w:val="24"/>
        </w:rPr>
        <w:t>igher growth, whereas the SAC (2021–2024) faced a sharp decline due to political instability.</w:t>
      </w:r>
    </w:p>
    <w:p w14:paraId="65CF4DDD" w14:textId="77777777" w:rsidR="00D2567F" w:rsidRDefault="003D3F15">
      <w:pPr>
        <w:pStyle w:val="Heading3"/>
        <w:keepNext w:val="0"/>
        <w:keepLines w:val="0"/>
        <w:spacing w:before="0" w:after="0" w:line="360" w:lineRule="auto"/>
        <w:ind w:firstLine="720"/>
        <w:jc w:val="both"/>
        <w:rPr>
          <w:rFonts w:ascii="Times New Roman" w:eastAsia="Times New Roman" w:hAnsi="Times New Roman" w:cs="Times New Roman"/>
          <w:color w:val="404040"/>
          <w:sz w:val="24"/>
          <w:szCs w:val="24"/>
        </w:rPr>
      </w:pPr>
      <w:bookmarkStart w:id="3" w:name="_heading=h.3znysh7" w:colFirst="0" w:colLast="0"/>
      <w:bookmarkEnd w:id="3"/>
      <w:r>
        <w:rPr>
          <w:rFonts w:ascii="Times New Roman" w:eastAsia="Times New Roman" w:hAnsi="Times New Roman" w:cs="Times New Roman"/>
          <w:color w:val="404040"/>
          <w:sz w:val="24"/>
          <w:szCs w:val="24"/>
        </w:rPr>
        <w:t>For FDI as % of GDP, the F-statistic of 8.32 (p = 0.002) indicates significant fluctuations, with high investment under the NLD and a sharp drop during the SAC du</w:t>
      </w:r>
      <w:r>
        <w:rPr>
          <w:rFonts w:ascii="Times New Roman" w:eastAsia="Times New Roman" w:hAnsi="Times New Roman" w:cs="Times New Roman"/>
          <w:color w:val="404040"/>
          <w:sz w:val="24"/>
          <w:szCs w:val="24"/>
        </w:rPr>
        <w:t>e to reduced investor confidence.</w:t>
      </w:r>
    </w:p>
    <w:p w14:paraId="5CEB0F18" w14:textId="77777777" w:rsidR="00D2567F" w:rsidRDefault="003D3F15">
      <w:pPr>
        <w:pStyle w:val="Heading3"/>
        <w:keepNext w:val="0"/>
        <w:keepLines w:val="0"/>
        <w:spacing w:before="0" w:after="0" w:line="360" w:lineRule="auto"/>
        <w:ind w:firstLine="720"/>
        <w:jc w:val="both"/>
        <w:rPr>
          <w:rFonts w:ascii="Times New Roman" w:eastAsia="Times New Roman" w:hAnsi="Times New Roman" w:cs="Times New Roman"/>
          <w:color w:val="404040"/>
          <w:sz w:val="24"/>
          <w:szCs w:val="24"/>
        </w:rPr>
      </w:pPr>
      <w:bookmarkStart w:id="4" w:name="_heading=h.2et92p0" w:colFirst="0" w:colLast="0"/>
      <w:bookmarkEnd w:id="4"/>
      <w:r>
        <w:rPr>
          <w:rFonts w:ascii="Times New Roman" w:eastAsia="Times New Roman" w:hAnsi="Times New Roman" w:cs="Times New Roman"/>
          <w:color w:val="404040"/>
          <w:sz w:val="24"/>
          <w:szCs w:val="24"/>
        </w:rPr>
        <w:t>In contrast, Inflation Rate (%) shows no significant difference (F = 3.45, p = 0.056), suggesting relative stability, possibly due to consistent monetary policies.</w:t>
      </w:r>
    </w:p>
    <w:p w14:paraId="40AEF691" w14:textId="77777777" w:rsidR="00D2567F" w:rsidRDefault="003D3F15">
      <w:pPr>
        <w:pStyle w:val="Heading3"/>
        <w:keepNext w:val="0"/>
        <w:keepLines w:val="0"/>
        <w:spacing w:before="0" w:after="0" w:line="360" w:lineRule="auto"/>
        <w:ind w:firstLine="720"/>
        <w:jc w:val="both"/>
        <w:rPr>
          <w:rFonts w:ascii="Times New Roman" w:eastAsia="Times New Roman" w:hAnsi="Times New Roman" w:cs="Times New Roman"/>
          <w:color w:val="404040"/>
          <w:sz w:val="24"/>
          <w:szCs w:val="24"/>
        </w:rPr>
      </w:pPr>
      <w:bookmarkStart w:id="5" w:name="_heading=h.tyjcwt" w:colFirst="0" w:colLast="0"/>
      <w:bookmarkEnd w:id="5"/>
      <w:r>
        <w:rPr>
          <w:rFonts w:ascii="Times New Roman" w:eastAsia="Times New Roman" w:hAnsi="Times New Roman" w:cs="Times New Roman"/>
          <w:color w:val="404040"/>
          <w:sz w:val="24"/>
          <w:szCs w:val="24"/>
        </w:rPr>
        <w:t xml:space="preserve"> Governance strongly influences GDP growth and FDI, emphas</w:t>
      </w:r>
      <w:r>
        <w:rPr>
          <w:rFonts w:ascii="Times New Roman" w:eastAsia="Times New Roman" w:hAnsi="Times New Roman" w:cs="Times New Roman"/>
          <w:color w:val="404040"/>
          <w:sz w:val="24"/>
          <w:szCs w:val="24"/>
        </w:rPr>
        <w:t>izing the need for political stability and investor-friendly policies to sustain economic growth in Myanmar.</w:t>
      </w:r>
    </w:p>
    <w:p w14:paraId="208C63C2" w14:textId="77777777" w:rsidR="006D2DC7" w:rsidRDefault="006D2DC7" w:rsidP="006D2DC7"/>
    <w:p w14:paraId="3C7C935B" w14:textId="77777777" w:rsidR="006D2DC7" w:rsidRPr="006D2DC7" w:rsidRDefault="006D2DC7" w:rsidP="006D2DC7"/>
    <w:p w14:paraId="1335F344" w14:textId="77777777" w:rsidR="00D2567F" w:rsidRDefault="00D2567F">
      <w:pPr>
        <w:spacing w:line="360" w:lineRule="auto"/>
        <w:jc w:val="both"/>
        <w:rPr>
          <w:rFonts w:ascii="Times New Roman" w:eastAsia="Times New Roman" w:hAnsi="Times New Roman" w:cs="Times New Roman"/>
          <w:sz w:val="24"/>
          <w:szCs w:val="24"/>
        </w:rPr>
      </w:pPr>
    </w:p>
    <w:p w14:paraId="17C24256" w14:textId="77777777" w:rsidR="00D2567F" w:rsidRDefault="003D3F15">
      <w:pPr>
        <w:pStyle w:val="Heading3"/>
        <w:keepNext w:val="0"/>
        <w:keepLines w:val="0"/>
        <w:spacing w:before="0" w:after="0" w:line="360" w:lineRule="auto"/>
        <w:jc w:val="both"/>
        <w:rPr>
          <w:rFonts w:ascii="Times New Roman" w:eastAsia="Times New Roman" w:hAnsi="Times New Roman" w:cs="Times New Roman"/>
          <w:b/>
          <w:color w:val="404040"/>
          <w:sz w:val="24"/>
          <w:szCs w:val="24"/>
        </w:rPr>
      </w:pPr>
      <w:bookmarkStart w:id="6" w:name="_heading=h.3dy6vkm" w:colFirst="0" w:colLast="0"/>
      <w:bookmarkEnd w:id="6"/>
      <w:r>
        <w:rPr>
          <w:rFonts w:ascii="Times New Roman" w:eastAsia="Times New Roman" w:hAnsi="Times New Roman" w:cs="Times New Roman"/>
          <w:b/>
          <w:color w:val="404040"/>
          <w:sz w:val="24"/>
          <w:szCs w:val="24"/>
        </w:rPr>
        <w:t>3.2. Tukey's HSD Post-Hoc Test Results</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2636"/>
        <w:gridCol w:w="1599"/>
        <w:gridCol w:w="937"/>
        <w:gridCol w:w="1584"/>
        <w:gridCol w:w="2604"/>
      </w:tblGrid>
      <w:tr w:rsidR="00D2567F" w14:paraId="67D08F8A" w14:textId="77777777">
        <w:trPr>
          <w:trHeight w:val="845"/>
        </w:trPr>
        <w:tc>
          <w:tcPr>
            <w:tcW w:w="2636" w:type="dxa"/>
            <w:tcBorders>
              <w:top w:val="single" w:sz="4" w:space="0" w:color="404040"/>
              <w:left w:val="nil"/>
              <w:bottom w:val="single" w:sz="4" w:space="0" w:color="404040"/>
              <w:right w:val="nil"/>
            </w:tcBorders>
            <w:tcMar>
              <w:top w:w="100" w:type="dxa"/>
              <w:left w:w="0" w:type="dxa"/>
              <w:bottom w:w="100" w:type="dxa"/>
              <w:right w:w="100" w:type="dxa"/>
            </w:tcMar>
          </w:tcPr>
          <w:p w14:paraId="12778D6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Government Pair</w:t>
            </w:r>
          </w:p>
        </w:tc>
        <w:tc>
          <w:tcPr>
            <w:tcW w:w="1598" w:type="dxa"/>
            <w:tcBorders>
              <w:top w:val="single" w:sz="4" w:space="0" w:color="404040"/>
              <w:left w:val="nil"/>
              <w:bottom w:val="single" w:sz="4" w:space="0" w:color="404040"/>
              <w:right w:val="nil"/>
            </w:tcBorders>
            <w:tcMar>
              <w:top w:w="100" w:type="dxa"/>
              <w:left w:w="100" w:type="dxa"/>
              <w:bottom w:w="100" w:type="dxa"/>
              <w:right w:w="100" w:type="dxa"/>
            </w:tcMar>
          </w:tcPr>
          <w:p w14:paraId="0F793A3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Mean Difference</w:t>
            </w:r>
          </w:p>
        </w:tc>
        <w:tc>
          <w:tcPr>
            <w:tcW w:w="937" w:type="dxa"/>
            <w:tcBorders>
              <w:top w:val="single" w:sz="4" w:space="0" w:color="404040"/>
              <w:left w:val="nil"/>
              <w:bottom w:val="single" w:sz="4" w:space="0" w:color="404040"/>
              <w:right w:val="nil"/>
            </w:tcBorders>
            <w:tcMar>
              <w:top w:w="100" w:type="dxa"/>
              <w:left w:w="100" w:type="dxa"/>
              <w:bottom w:w="100" w:type="dxa"/>
              <w:right w:w="100" w:type="dxa"/>
            </w:tcMar>
          </w:tcPr>
          <w:p w14:paraId="38BAD22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p-value</w:t>
            </w:r>
          </w:p>
        </w:tc>
        <w:tc>
          <w:tcPr>
            <w:tcW w:w="1583" w:type="dxa"/>
            <w:tcBorders>
              <w:top w:val="single" w:sz="4" w:space="0" w:color="404040"/>
              <w:left w:val="nil"/>
              <w:bottom w:val="single" w:sz="4" w:space="0" w:color="404040"/>
              <w:right w:val="nil"/>
            </w:tcBorders>
            <w:tcMar>
              <w:top w:w="100" w:type="dxa"/>
              <w:left w:w="100" w:type="dxa"/>
              <w:bottom w:w="100" w:type="dxa"/>
              <w:right w:w="100" w:type="dxa"/>
            </w:tcMar>
          </w:tcPr>
          <w:p w14:paraId="721D064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Significance</w:t>
            </w:r>
          </w:p>
        </w:tc>
        <w:tc>
          <w:tcPr>
            <w:tcW w:w="2603" w:type="dxa"/>
            <w:tcBorders>
              <w:top w:val="single" w:sz="4" w:space="0" w:color="404040"/>
              <w:left w:val="nil"/>
              <w:bottom w:val="single" w:sz="4" w:space="0" w:color="404040"/>
              <w:right w:val="nil"/>
            </w:tcBorders>
            <w:tcMar>
              <w:top w:w="100" w:type="dxa"/>
              <w:left w:w="100" w:type="dxa"/>
              <w:bottom w:w="100" w:type="dxa"/>
              <w:right w:w="100" w:type="dxa"/>
            </w:tcMar>
          </w:tcPr>
          <w:p w14:paraId="5E8678A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Conclusion</w:t>
            </w:r>
          </w:p>
        </w:tc>
      </w:tr>
      <w:tr w:rsidR="00D2567F" w14:paraId="0664AC25" w14:textId="77777777">
        <w:trPr>
          <w:trHeight w:val="1160"/>
        </w:trPr>
        <w:tc>
          <w:tcPr>
            <w:tcW w:w="2636" w:type="dxa"/>
            <w:tcBorders>
              <w:top w:val="single" w:sz="4" w:space="0" w:color="404040"/>
              <w:left w:val="nil"/>
              <w:bottom w:val="nil"/>
              <w:right w:val="nil"/>
            </w:tcBorders>
            <w:tcMar>
              <w:top w:w="100" w:type="dxa"/>
              <w:left w:w="0" w:type="dxa"/>
              <w:bottom w:w="100" w:type="dxa"/>
              <w:right w:w="100" w:type="dxa"/>
            </w:tcMar>
          </w:tcPr>
          <w:p w14:paraId="471F834A"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(2000–2011) vs. USDP (2011–2016)</w:t>
            </w:r>
          </w:p>
        </w:tc>
        <w:tc>
          <w:tcPr>
            <w:tcW w:w="1598" w:type="dxa"/>
            <w:tcBorders>
              <w:top w:val="single" w:sz="4" w:space="0" w:color="404040"/>
              <w:left w:val="nil"/>
              <w:bottom w:val="nil"/>
              <w:right w:val="nil"/>
            </w:tcBorders>
            <w:tcMar>
              <w:top w:w="100" w:type="dxa"/>
              <w:left w:w="100" w:type="dxa"/>
              <w:bottom w:w="100" w:type="dxa"/>
              <w:right w:w="100" w:type="dxa"/>
            </w:tcMar>
          </w:tcPr>
          <w:p w14:paraId="1EFC85C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0.15</w:t>
            </w:r>
          </w:p>
        </w:tc>
        <w:tc>
          <w:tcPr>
            <w:tcW w:w="937" w:type="dxa"/>
            <w:tcBorders>
              <w:top w:val="single" w:sz="4" w:space="0" w:color="404040"/>
              <w:left w:val="nil"/>
              <w:bottom w:val="nil"/>
              <w:right w:val="nil"/>
            </w:tcBorders>
            <w:tcMar>
              <w:top w:w="100" w:type="dxa"/>
              <w:left w:w="100" w:type="dxa"/>
              <w:bottom w:w="100" w:type="dxa"/>
              <w:right w:w="100" w:type="dxa"/>
            </w:tcMar>
          </w:tcPr>
          <w:p w14:paraId="58A4D93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0.120</w:t>
            </w:r>
          </w:p>
        </w:tc>
        <w:tc>
          <w:tcPr>
            <w:tcW w:w="1583" w:type="dxa"/>
            <w:tcBorders>
              <w:top w:val="single" w:sz="4" w:space="0" w:color="404040"/>
              <w:left w:val="nil"/>
              <w:bottom w:val="nil"/>
              <w:right w:val="nil"/>
            </w:tcBorders>
            <w:tcMar>
              <w:top w:w="100" w:type="dxa"/>
              <w:left w:w="100" w:type="dxa"/>
              <w:bottom w:w="100" w:type="dxa"/>
              <w:right w:w="100" w:type="dxa"/>
            </w:tcMar>
          </w:tcPr>
          <w:p w14:paraId="472EF0F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Not Significant</w:t>
            </w:r>
          </w:p>
        </w:tc>
        <w:tc>
          <w:tcPr>
            <w:tcW w:w="2603" w:type="dxa"/>
            <w:tcBorders>
              <w:top w:val="single" w:sz="4" w:space="0" w:color="404040"/>
              <w:left w:val="nil"/>
              <w:bottom w:val="nil"/>
              <w:right w:val="nil"/>
            </w:tcBorders>
            <w:tcMar>
              <w:top w:w="100" w:type="dxa"/>
              <w:left w:w="100" w:type="dxa"/>
              <w:bottom w:w="100" w:type="dxa"/>
              <w:right w:w="100" w:type="dxa"/>
            </w:tcMar>
          </w:tcPr>
          <w:p w14:paraId="6EDF44F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No significant difference in GDP growth.</w:t>
            </w:r>
          </w:p>
        </w:tc>
      </w:tr>
      <w:tr w:rsidR="00D2567F" w14:paraId="6912C976" w14:textId="77777777">
        <w:trPr>
          <w:trHeight w:val="875"/>
        </w:trPr>
        <w:tc>
          <w:tcPr>
            <w:tcW w:w="2636" w:type="dxa"/>
            <w:tcBorders>
              <w:top w:val="nil"/>
              <w:left w:val="nil"/>
              <w:bottom w:val="nil"/>
              <w:right w:val="nil"/>
            </w:tcBorders>
            <w:tcMar>
              <w:top w:w="100" w:type="dxa"/>
              <w:left w:w="0" w:type="dxa"/>
              <w:bottom w:w="100" w:type="dxa"/>
              <w:right w:w="100" w:type="dxa"/>
            </w:tcMar>
          </w:tcPr>
          <w:p w14:paraId="5F2CABC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SPDC (2000–2011) vs. NLD (2016–2021)</w:t>
            </w:r>
          </w:p>
        </w:tc>
        <w:tc>
          <w:tcPr>
            <w:tcW w:w="1598" w:type="dxa"/>
            <w:tcBorders>
              <w:top w:val="nil"/>
              <w:left w:val="nil"/>
              <w:bottom w:val="nil"/>
              <w:right w:val="nil"/>
            </w:tcBorders>
            <w:tcMar>
              <w:top w:w="100" w:type="dxa"/>
              <w:left w:w="100" w:type="dxa"/>
              <w:bottom w:w="100" w:type="dxa"/>
              <w:right w:w="100" w:type="dxa"/>
            </w:tcMar>
          </w:tcPr>
          <w:p w14:paraId="4FC6F52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1.20</w:t>
            </w:r>
          </w:p>
        </w:tc>
        <w:tc>
          <w:tcPr>
            <w:tcW w:w="937" w:type="dxa"/>
            <w:tcBorders>
              <w:top w:val="nil"/>
              <w:left w:val="nil"/>
              <w:bottom w:val="nil"/>
              <w:right w:val="nil"/>
            </w:tcBorders>
            <w:tcMar>
              <w:top w:w="100" w:type="dxa"/>
              <w:left w:w="100" w:type="dxa"/>
              <w:bottom w:w="100" w:type="dxa"/>
              <w:right w:w="100" w:type="dxa"/>
            </w:tcMar>
          </w:tcPr>
          <w:p w14:paraId="1EB8407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583" w:type="dxa"/>
            <w:tcBorders>
              <w:top w:val="nil"/>
              <w:left w:val="nil"/>
              <w:bottom w:val="nil"/>
              <w:right w:val="nil"/>
            </w:tcBorders>
            <w:tcMar>
              <w:top w:w="100" w:type="dxa"/>
              <w:left w:w="100" w:type="dxa"/>
              <w:bottom w:w="100" w:type="dxa"/>
              <w:right w:w="100" w:type="dxa"/>
            </w:tcMar>
          </w:tcPr>
          <w:p w14:paraId="1D8E313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603" w:type="dxa"/>
            <w:tcBorders>
              <w:top w:val="nil"/>
              <w:left w:val="nil"/>
              <w:bottom w:val="nil"/>
              <w:right w:val="nil"/>
            </w:tcBorders>
            <w:tcMar>
              <w:top w:w="100" w:type="dxa"/>
              <w:left w:w="100" w:type="dxa"/>
              <w:bottom w:w="100" w:type="dxa"/>
              <w:right w:w="100" w:type="dxa"/>
            </w:tcMar>
          </w:tcPr>
          <w:p w14:paraId="7303850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19B3EE4E" w14:textId="77777777">
        <w:trPr>
          <w:trHeight w:val="875"/>
        </w:trPr>
        <w:tc>
          <w:tcPr>
            <w:tcW w:w="2636" w:type="dxa"/>
            <w:tcBorders>
              <w:top w:val="nil"/>
              <w:left w:val="nil"/>
              <w:bottom w:val="nil"/>
              <w:right w:val="nil"/>
            </w:tcBorders>
            <w:tcMar>
              <w:top w:w="100" w:type="dxa"/>
              <w:left w:w="0" w:type="dxa"/>
              <w:bottom w:w="100" w:type="dxa"/>
              <w:right w:w="100" w:type="dxa"/>
            </w:tcMar>
          </w:tcPr>
          <w:p w14:paraId="10C799F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(2000–2011) vs. SAC (2021–2024)</w:t>
            </w:r>
          </w:p>
        </w:tc>
        <w:tc>
          <w:tcPr>
            <w:tcW w:w="1598" w:type="dxa"/>
            <w:tcBorders>
              <w:top w:val="nil"/>
              <w:left w:val="nil"/>
              <w:bottom w:val="nil"/>
              <w:right w:val="nil"/>
            </w:tcBorders>
            <w:tcMar>
              <w:top w:w="100" w:type="dxa"/>
              <w:left w:w="100" w:type="dxa"/>
              <w:bottom w:w="100" w:type="dxa"/>
              <w:right w:w="100" w:type="dxa"/>
            </w:tcMar>
          </w:tcPr>
          <w:p w14:paraId="546B953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-10.50</w:t>
            </w:r>
          </w:p>
        </w:tc>
        <w:tc>
          <w:tcPr>
            <w:tcW w:w="937" w:type="dxa"/>
            <w:tcBorders>
              <w:top w:val="nil"/>
              <w:left w:val="nil"/>
              <w:bottom w:val="nil"/>
              <w:right w:val="nil"/>
            </w:tcBorders>
            <w:tcMar>
              <w:top w:w="100" w:type="dxa"/>
              <w:left w:w="100" w:type="dxa"/>
              <w:bottom w:w="100" w:type="dxa"/>
              <w:right w:w="100" w:type="dxa"/>
            </w:tcMar>
          </w:tcPr>
          <w:p w14:paraId="3E48470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583" w:type="dxa"/>
            <w:tcBorders>
              <w:top w:val="nil"/>
              <w:left w:val="nil"/>
              <w:bottom w:val="nil"/>
              <w:right w:val="nil"/>
            </w:tcBorders>
            <w:tcMar>
              <w:top w:w="100" w:type="dxa"/>
              <w:left w:w="100" w:type="dxa"/>
              <w:bottom w:w="100" w:type="dxa"/>
              <w:right w:w="100" w:type="dxa"/>
            </w:tcMar>
          </w:tcPr>
          <w:p w14:paraId="75DAC96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603" w:type="dxa"/>
            <w:tcBorders>
              <w:top w:val="nil"/>
              <w:left w:val="nil"/>
              <w:bottom w:val="nil"/>
              <w:right w:val="nil"/>
            </w:tcBorders>
            <w:tcMar>
              <w:top w:w="100" w:type="dxa"/>
              <w:left w:w="100" w:type="dxa"/>
              <w:bottom w:w="100" w:type="dxa"/>
              <w:right w:w="100" w:type="dxa"/>
            </w:tcMar>
          </w:tcPr>
          <w:p w14:paraId="656CCAF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Significant difference </w:t>
            </w:r>
            <w:r>
              <w:rPr>
                <w:rFonts w:ascii="Times New Roman" w:eastAsia="Times New Roman" w:hAnsi="Times New Roman" w:cs="Times New Roman"/>
                <w:color w:val="404040"/>
                <w:sz w:val="24"/>
                <w:szCs w:val="24"/>
              </w:rPr>
              <w:t>in GDP growth.</w:t>
            </w:r>
          </w:p>
        </w:tc>
      </w:tr>
      <w:tr w:rsidR="00D2567F" w14:paraId="61DB45B2" w14:textId="77777777">
        <w:trPr>
          <w:trHeight w:val="875"/>
        </w:trPr>
        <w:tc>
          <w:tcPr>
            <w:tcW w:w="2636" w:type="dxa"/>
            <w:tcBorders>
              <w:top w:val="nil"/>
              <w:left w:val="nil"/>
              <w:bottom w:val="nil"/>
              <w:right w:val="nil"/>
            </w:tcBorders>
            <w:tcMar>
              <w:top w:w="100" w:type="dxa"/>
              <w:left w:w="0" w:type="dxa"/>
              <w:bottom w:w="100" w:type="dxa"/>
              <w:right w:w="100" w:type="dxa"/>
            </w:tcMar>
          </w:tcPr>
          <w:p w14:paraId="26C9E82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(2011–2016) vs. NLD (2016–2021)</w:t>
            </w:r>
          </w:p>
        </w:tc>
        <w:tc>
          <w:tcPr>
            <w:tcW w:w="1598" w:type="dxa"/>
            <w:tcBorders>
              <w:top w:val="nil"/>
              <w:left w:val="nil"/>
              <w:bottom w:val="nil"/>
              <w:right w:val="nil"/>
            </w:tcBorders>
            <w:tcMar>
              <w:top w:w="100" w:type="dxa"/>
              <w:left w:w="100" w:type="dxa"/>
              <w:bottom w:w="100" w:type="dxa"/>
              <w:right w:w="100" w:type="dxa"/>
            </w:tcMar>
          </w:tcPr>
          <w:p w14:paraId="2ADAD98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1.05</w:t>
            </w:r>
          </w:p>
        </w:tc>
        <w:tc>
          <w:tcPr>
            <w:tcW w:w="937" w:type="dxa"/>
            <w:tcBorders>
              <w:top w:val="nil"/>
              <w:left w:val="nil"/>
              <w:bottom w:val="nil"/>
              <w:right w:val="nil"/>
            </w:tcBorders>
            <w:tcMar>
              <w:top w:w="100" w:type="dxa"/>
              <w:left w:w="100" w:type="dxa"/>
              <w:bottom w:w="100" w:type="dxa"/>
              <w:right w:w="100" w:type="dxa"/>
            </w:tcMar>
          </w:tcPr>
          <w:p w14:paraId="28D8224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0.002</w:t>
            </w:r>
          </w:p>
        </w:tc>
        <w:tc>
          <w:tcPr>
            <w:tcW w:w="1583" w:type="dxa"/>
            <w:tcBorders>
              <w:top w:val="nil"/>
              <w:left w:val="nil"/>
              <w:bottom w:val="nil"/>
              <w:right w:val="nil"/>
            </w:tcBorders>
            <w:tcMar>
              <w:top w:w="100" w:type="dxa"/>
              <w:left w:w="100" w:type="dxa"/>
              <w:bottom w:w="100" w:type="dxa"/>
              <w:right w:w="100" w:type="dxa"/>
            </w:tcMar>
          </w:tcPr>
          <w:p w14:paraId="06A8D36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603" w:type="dxa"/>
            <w:tcBorders>
              <w:top w:val="nil"/>
              <w:left w:val="nil"/>
              <w:bottom w:val="nil"/>
              <w:right w:val="nil"/>
            </w:tcBorders>
            <w:tcMar>
              <w:top w:w="100" w:type="dxa"/>
              <w:left w:w="100" w:type="dxa"/>
              <w:bottom w:w="100" w:type="dxa"/>
              <w:right w:w="100" w:type="dxa"/>
            </w:tcMar>
          </w:tcPr>
          <w:p w14:paraId="15C280F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14242A04" w14:textId="77777777">
        <w:trPr>
          <w:trHeight w:val="875"/>
        </w:trPr>
        <w:tc>
          <w:tcPr>
            <w:tcW w:w="2636" w:type="dxa"/>
            <w:tcBorders>
              <w:top w:val="nil"/>
              <w:left w:val="nil"/>
              <w:bottom w:val="nil"/>
              <w:right w:val="nil"/>
            </w:tcBorders>
            <w:tcMar>
              <w:top w:w="100" w:type="dxa"/>
              <w:left w:w="0" w:type="dxa"/>
              <w:bottom w:w="100" w:type="dxa"/>
              <w:right w:w="100" w:type="dxa"/>
            </w:tcMar>
          </w:tcPr>
          <w:p w14:paraId="340DAB0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(2011–2016) vs. SAC (2021–2024)</w:t>
            </w:r>
          </w:p>
        </w:tc>
        <w:tc>
          <w:tcPr>
            <w:tcW w:w="1598" w:type="dxa"/>
            <w:tcBorders>
              <w:top w:val="nil"/>
              <w:left w:val="nil"/>
              <w:bottom w:val="nil"/>
              <w:right w:val="nil"/>
            </w:tcBorders>
            <w:tcMar>
              <w:top w:w="100" w:type="dxa"/>
              <w:left w:w="100" w:type="dxa"/>
              <w:bottom w:w="100" w:type="dxa"/>
              <w:right w:w="100" w:type="dxa"/>
            </w:tcMar>
          </w:tcPr>
          <w:p w14:paraId="0B683FC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-10.65</w:t>
            </w:r>
          </w:p>
        </w:tc>
        <w:tc>
          <w:tcPr>
            <w:tcW w:w="937" w:type="dxa"/>
            <w:tcBorders>
              <w:top w:val="nil"/>
              <w:left w:val="nil"/>
              <w:bottom w:val="nil"/>
              <w:right w:val="nil"/>
            </w:tcBorders>
            <w:tcMar>
              <w:top w:w="100" w:type="dxa"/>
              <w:left w:w="100" w:type="dxa"/>
              <w:bottom w:w="100" w:type="dxa"/>
              <w:right w:w="100" w:type="dxa"/>
            </w:tcMar>
          </w:tcPr>
          <w:p w14:paraId="3963B39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583" w:type="dxa"/>
            <w:tcBorders>
              <w:top w:val="nil"/>
              <w:left w:val="nil"/>
              <w:bottom w:val="nil"/>
              <w:right w:val="nil"/>
            </w:tcBorders>
            <w:tcMar>
              <w:top w:w="100" w:type="dxa"/>
              <w:left w:w="100" w:type="dxa"/>
              <w:bottom w:w="100" w:type="dxa"/>
              <w:right w:w="100" w:type="dxa"/>
            </w:tcMar>
          </w:tcPr>
          <w:p w14:paraId="40EEBE0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603" w:type="dxa"/>
            <w:tcBorders>
              <w:top w:val="nil"/>
              <w:left w:val="nil"/>
              <w:bottom w:val="nil"/>
              <w:right w:val="nil"/>
            </w:tcBorders>
            <w:tcMar>
              <w:top w:w="100" w:type="dxa"/>
              <w:left w:w="100" w:type="dxa"/>
              <w:bottom w:w="100" w:type="dxa"/>
              <w:right w:w="100" w:type="dxa"/>
            </w:tcMar>
          </w:tcPr>
          <w:p w14:paraId="21FD795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19CF63CE" w14:textId="77777777">
        <w:trPr>
          <w:trHeight w:val="875"/>
        </w:trPr>
        <w:tc>
          <w:tcPr>
            <w:tcW w:w="2636" w:type="dxa"/>
            <w:tcBorders>
              <w:top w:val="nil"/>
              <w:left w:val="nil"/>
              <w:bottom w:val="single" w:sz="4" w:space="0" w:color="404040"/>
              <w:right w:val="nil"/>
            </w:tcBorders>
            <w:tcMar>
              <w:top w:w="100" w:type="dxa"/>
              <w:left w:w="0" w:type="dxa"/>
              <w:bottom w:w="100" w:type="dxa"/>
              <w:right w:w="100" w:type="dxa"/>
            </w:tcMar>
          </w:tcPr>
          <w:p w14:paraId="4A6C8C2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NLD (2016–2021) vs. SAC (2021–2024)</w:t>
            </w:r>
          </w:p>
        </w:tc>
        <w:tc>
          <w:tcPr>
            <w:tcW w:w="1598" w:type="dxa"/>
            <w:tcBorders>
              <w:top w:val="nil"/>
              <w:left w:val="nil"/>
              <w:bottom w:val="single" w:sz="4" w:space="0" w:color="404040"/>
              <w:right w:val="nil"/>
            </w:tcBorders>
            <w:tcMar>
              <w:top w:w="100" w:type="dxa"/>
              <w:left w:w="100" w:type="dxa"/>
              <w:bottom w:w="100" w:type="dxa"/>
              <w:right w:w="100" w:type="dxa"/>
            </w:tcMar>
          </w:tcPr>
          <w:p w14:paraId="4149B6E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-11.70</w:t>
            </w:r>
          </w:p>
        </w:tc>
        <w:tc>
          <w:tcPr>
            <w:tcW w:w="937" w:type="dxa"/>
            <w:tcBorders>
              <w:top w:val="nil"/>
              <w:left w:val="nil"/>
              <w:bottom w:val="single" w:sz="4" w:space="0" w:color="404040"/>
              <w:right w:val="nil"/>
            </w:tcBorders>
            <w:tcMar>
              <w:top w:w="100" w:type="dxa"/>
              <w:left w:w="100" w:type="dxa"/>
              <w:bottom w:w="100" w:type="dxa"/>
              <w:right w:w="100" w:type="dxa"/>
            </w:tcMar>
          </w:tcPr>
          <w:p w14:paraId="43FB2DC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583" w:type="dxa"/>
            <w:tcBorders>
              <w:top w:val="nil"/>
              <w:left w:val="nil"/>
              <w:bottom w:val="single" w:sz="4" w:space="0" w:color="404040"/>
              <w:right w:val="nil"/>
            </w:tcBorders>
            <w:tcMar>
              <w:top w:w="100" w:type="dxa"/>
              <w:left w:w="100" w:type="dxa"/>
              <w:bottom w:w="100" w:type="dxa"/>
              <w:right w:w="100" w:type="dxa"/>
            </w:tcMar>
          </w:tcPr>
          <w:p w14:paraId="16185EC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603" w:type="dxa"/>
            <w:tcBorders>
              <w:top w:val="nil"/>
              <w:left w:val="nil"/>
              <w:bottom w:val="single" w:sz="4" w:space="0" w:color="404040"/>
              <w:right w:val="nil"/>
            </w:tcBorders>
            <w:tcMar>
              <w:top w:w="100" w:type="dxa"/>
              <w:left w:w="100" w:type="dxa"/>
              <w:bottom w:w="100" w:type="dxa"/>
              <w:right w:w="100" w:type="dxa"/>
            </w:tcMar>
          </w:tcPr>
          <w:p w14:paraId="3FF7A05A"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bl>
    <w:p w14:paraId="15857A5F" w14:textId="6CA2335B" w:rsidR="00040A23" w:rsidRDefault="004E4F8E" w:rsidP="00040A23">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 T</w:t>
      </w:r>
      <w:r w:rsidRPr="004E4F8E">
        <w:rPr>
          <w:rFonts w:ascii="Times New Roman" w:eastAsia="Times New Roman" w:hAnsi="Times New Roman" w:cs="Times New Roman"/>
          <w:color w:val="404040"/>
          <w:sz w:val="24"/>
          <w:szCs w:val="24"/>
        </w:rPr>
        <w:t>he State Peace and Development Council</w:t>
      </w:r>
    </w:p>
    <w:p w14:paraId="5DD91E60" w14:textId="6A5F2FED" w:rsidR="004E4F8E" w:rsidRDefault="004E4F8E" w:rsidP="00040A23">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 T</w:t>
      </w:r>
      <w:r w:rsidRPr="004E4F8E">
        <w:rPr>
          <w:rFonts w:ascii="Times New Roman" w:eastAsia="Times New Roman" w:hAnsi="Times New Roman" w:cs="Times New Roman"/>
          <w:color w:val="404040"/>
          <w:sz w:val="24"/>
          <w:szCs w:val="24"/>
        </w:rPr>
        <w:t>he Union Solidarity and Development Party</w:t>
      </w:r>
    </w:p>
    <w:p w14:paraId="2A921AED" w14:textId="52E7FC84" w:rsidR="004E4F8E" w:rsidRDefault="004E4F8E" w:rsidP="00040A23">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NLD = T</w:t>
      </w:r>
      <w:r w:rsidRPr="004E4F8E">
        <w:rPr>
          <w:rFonts w:ascii="Times New Roman" w:eastAsia="Times New Roman" w:hAnsi="Times New Roman" w:cs="Times New Roman"/>
          <w:color w:val="404040"/>
          <w:sz w:val="24"/>
          <w:szCs w:val="24"/>
        </w:rPr>
        <w:t>he National League for Democracy</w:t>
      </w:r>
    </w:p>
    <w:p w14:paraId="00D87845" w14:textId="6EC90767" w:rsidR="004E4F8E" w:rsidRDefault="004E4F8E" w:rsidP="00040A23">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SAC = </w:t>
      </w:r>
      <w:r w:rsidR="006D2DC7">
        <w:rPr>
          <w:rFonts w:ascii="Times New Roman" w:eastAsia="Times New Roman" w:hAnsi="Times New Roman" w:cs="Times New Roman"/>
          <w:color w:val="404040"/>
          <w:sz w:val="24"/>
          <w:szCs w:val="24"/>
        </w:rPr>
        <w:t>T</w:t>
      </w:r>
      <w:r w:rsidR="006D2DC7" w:rsidRPr="006D2DC7">
        <w:rPr>
          <w:rFonts w:ascii="Times New Roman" w:eastAsia="Times New Roman" w:hAnsi="Times New Roman" w:cs="Times New Roman"/>
          <w:color w:val="404040"/>
          <w:sz w:val="24"/>
          <w:szCs w:val="24"/>
        </w:rPr>
        <w:t>he State Administration Council</w:t>
      </w:r>
    </w:p>
    <w:p w14:paraId="443497C6" w14:textId="0C47BE46" w:rsidR="00D2567F" w:rsidRDefault="003D3F15">
      <w:pPr>
        <w:spacing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Tukey’s HSD Post-Hoc Test results highlight significant GDP growth differences across Myanmar’s government administrations. No significant difference is found between SPDC (2000–2011) and USDP (2011–2016) (mean difference = 0.15, p = 0.120). However, GDP g</w:t>
      </w:r>
      <w:r>
        <w:rPr>
          <w:rFonts w:ascii="Times New Roman" w:eastAsia="Times New Roman" w:hAnsi="Times New Roman" w:cs="Times New Roman"/>
          <w:color w:val="404040"/>
          <w:sz w:val="24"/>
          <w:szCs w:val="24"/>
        </w:rPr>
        <w:t>rowth significantly increases under NLD (2016–2021) compared to SPDC (mean difference = 1.20, p &lt; 0.001) and USDP (mean difference = 1.05, p = 0.002). A sharp decline occurs during SAC (2021–2024), with GDP dropping significantly compared to SPDC (mean dif</w:t>
      </w:r>
      <w:r>
        <w:rPr>
          <w:rFonts w:ascii="Times New Roman" w:eastAsia="Times New Roman" w:hAnsi="Times New Roman" w:cs="Times New Roman"/>
          <w:color w:val="404040"/>
          <w:sz w:val="24"/>
          <w:szCs w:val="24"/>
        </w:rPr>
        <w:t>ference = -10.50, p &lt; 0.001), USDP (-10.65, p &lt; 0.001), and NLD (-11.70, p &lt; 0.001. While GDP remained stable between SPDC and USDP, significant growth occurred under NLD, followed by a severe economic downturn during SAC.</w:t>
      </w:r>
    </w:p>
    <w:p w14:paraId="30AF5AC7" w14:textId="77777777" w:rsidR="00D2567F" w:rsidRDefault="00D2567F">
      <w:pPr>
        <w:spacing w:line="360" w:lineRule="auto"/>
        <w:jc w:val="both"/>
        <w:rPr>
          <w:rFonts w:ascii="Times New Roman" w:eastAsia="Times New Roman" w:hAnsi="Times New Roman" w:cs="Times New Roman"/>
          <w:color w:val="404040"/>
          <w:sz w:val="24"/>
          <w:szCs w:val="24"/>
        </w:rPr>
      </w:pPr>
    </w:p>
    <w:p w14:paraId="523A4195" w14:textId="77777777" w:rsidR="00D2567F" w:rsidRDefault="00D2567F">
      <w:pPr>
        <w:spacing w:line="360" w:lineRule="auto"/>
        <w:jc w:val="both"/>
        <w:rPr>
          <w:rFonts w:ascii="Times New Roman" w:eastAsia="Times New Roman" w:hAnsi="Times New Roman" w:cs="Times New Roman"/>
          <w:color w:val="404040"/>
          <w:sz w:val="24"/>
          <w:szCs w:val="24"/>
        </w:rPr>
      </w:pPr>
    </w:p>
    <w:p w14:paraId="43B9F73A" w14:textId="11F215ED" w:rsidR="00D2567F" w:rsidRPr="006D2DC7" w:rsidRDefault="003D3F15">
      <w:pPr>
        <w:pStyle w:val="Heading3"/>
        <w:keepNext w:val="0"/>
        <w:keepLines w:val="0"/>
        <w:spacing w:before="0" w:after="0" w:line="360" w:lineRule="auto"/>
        <w:jc w:val="both"/>
        <w:rPr>
          <w:rFonts w:ascii="Times New Roman" w:eastAsia="Times New Roman" w:hAnsi="Times New Roman" w:cs="Times New Roman"/>
          <w:color w:val="404040"/>
          <w:sz w:val="24"/>
          <w:szCs w:val="24"/>
        </w:rPr>
      </w:pPr>
      <w:bookmarkStart w:id="7" w:name="_heading=h.1t3h5sf" w:colFirst="0" w:colLast="0"/>
      <w:bookmarkStart w:id="8" w:name="_heading=h.4d34og8" w:colFirst="0" w:colLast="0"/>
      <w:bookmarkEnd w:id="7"/>
      <w:bookmarkEnd w:id="8"/>
      <w:r>
        <w:rPr>
          <w:rFonts w:ascii="Times New Roman" w:eastAsia="Times New Roman" w:hAnsi="Times New Roman" w:cs="Times New Roman"/>
          <w:b/>
          <w:color w:val="404040"/>
          <w:sz w:val="24"/>
          <w:szCs w:val="24"/>
        </w:rPr>
        <w:t>3.3. Regression Analysis with D</w:t>
      </w:r>
      <w:r>
        <w:rPr>
          <w:rFonts w:ascii="Times New Roman" w:eastAsia="Times New Roman" w:hAnsi="Times New Roman" w:cs="Times New Roman"/>
          <w:b/>
          <w:color w:val="404040"/>
          <w:sz w:val="24"/>
          <w:szCs w:val="24"/>
        </w:rPr>
        <w:t>ummy Variables</w:t>
      </w:r>
    </w:p>
    <w:tbl>
      <w:tblPr>
        <w:tblStyle w:val="a6"/>
        <w:tblW w:w="943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130"/>
        <w:gridCol w:w="1425"/>
        <w:gridCol w:w="1830"/>
        <w:gridCol w:w="1245"/>
        <w:gridCol w:w="1035"/>
        <w:gridCol w:w="1770"/>
      </w:tblGrid>
      <w:tr w:rsidR="00D2567F" w14:paraId="555C0A04" w14:textId="77777777">
        <w:trPr>
          <w:trHeight w:val="545"/>
        </w:trPr>
        <w:tc>
          <w:tcPr>
            <w:tcW w:w="2130" w:type="dxa"/>
            <w:tcBorders>
              <w:top w:val="single" w:sz="4" w:space="0" w:color="404040"/>
              <w:left w:val="nil"/>
              <w:bottom w:val="single" w:sz="4" w:space="0" w:color="404040"/>
              <w:right w:val="nil"/>
            </w:tcBorders>
            <w:tcMar>
              <w:top w:w="100" w:type="dxa"/>
              <w:left w:w="0" w:type="dxa"/>
              <w:bottom w:w="100" w:type="dxa"/>
              <w:right w:w="100" w:type="dxa"/>
            </w:tcMar>
          </w:tcPr>
          <w:p w14:paraId="504E450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Variable</w:t>
            </w:r>
          </w:p>
        </w:tc>
        <w:tc>
          <w:tcPr>
            <w:tcW w:w="1425" w:type="dxa"/>
            <w:tcBorders>
              <w:top w:val="single" w:sz="4" w:space="0" w:color="404040"/>
              <w:left w:val="nil"/>
              <w:bottom w:val="single" w:sz="4" w:space="0" w:color="404040"/>
              <w:right w:val="nil"/>
            </w:tcBorders>
            <w:tcMar>
              <w:top w:w="100" w:type="dxa"/>
              <w:left w:w="100" w:type="dxa"/>
              <w:bottom w:w="100" w:type="dxa"/>
              <w:right w:w="100" w:type="dxa"/>
            </w:tcMar>
          </w:tcPr>
          <w:p w14:paraId="65BA4ED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Coefficient</w:t>
            </w:r>
          </w:p>
        </w:tc>
        <w:tc>
          <w:tcPr>
            <w:tcW w:w="1830" w:type="dxa"/>
            <w:tcBorders>
              <w:top w:val="single" w:sz="4" w:space="0" w:color="404040"/>
              <w:left w:val="nil"/>
              <w:bottom w:val="single" w:sz="4" w:space="0" w:color="404040"/>
              <w:right w:val="nil"/>
            </w:tcBorders>
            <w:tcMar>
              <w:top w:w="100" w:type="dxa"/>
              <w:left w:w="100" w:type="dxa"/>
              <w:bottom w:w="100" w:type="dxa"/>
              <w:right w:w="100" w:type="dxa"/>
            </w:tcMar>
          </w:tcPr>
          <w:p w14:paraId="37707F2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Standard Error</w:t>
            </w:r>
          </w:p>
        </w:tc>
        <w:tc>
          <w:tcPr>
            <w:tcW w:w="1245" w:type="dxa"/>
            <w:tcBorders>
              <w:top w:val="single" w:sz="4" w:space="0" w:color="404040"/>
              <w:left w:val="nil"/>
              <w:bottom w:val="single" w:sz="4" w:space="0" w:color="404040"/>
              <w:right w:val="nil"/>
            </w:tcBorders>
            <w:tcMar>
              <w:top w:w="100" w:type="dxa"/>
              <w:left w:w="100" w:type="dxa"/>
              <w:bottom w:w="100" w:type="dxa"/>
              <w:right w:w="100" w:type="dxa"/>
            </w:tcMar>
          </w:tcPr>
          <w:p w14:paraId="71C9DEB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t-statistic</w:t>
            </w:r>
          </w:p>
        </w:tc>
        <w:tc>
          <w:tcPr>
            <w:tcW w:w="1035" w:type="dxa"/>
            <w:tcBorders>
              <w:top w:val="single" w:sz="4" w:space="0" w:color="404040"/>
              <w:left w:val="nil"/>
              <w:bottom w:val="single" w:sz="4" w:space="0" w:color="404040"/>
              <w:right w:val="nil"/>
            </w:tcBorders>
            <w:tcMar>
              <w:top w:w="100" w:type="dxa"/>
              <w:left w:w="100" w:type="dxa"/>
              <w:bottom w:w="100" w:type="dxa"/>
              <w:right w:w="100" w:type="dxa"/>
            </w:tcMar>
          </w:tcPr>
          <w:p w14:paraId="6872087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p-value</w:t>
            </w:r>
          </w:p>
        </w:tc>
        <w:tc>
          <w:tcPr>
            <w:tcW w:w="1770" w:type="dxa"/>
            <w:tcBorders>
              <w:top w:val="single" w:sz="4" w:space="0" w:color="404040"/>
              <w:left w:val="nil"/>
              <w:bottom w:val="single" w:sz="4" w:space="0" w:color="404040"/>
              <w:right w:val="nil"/>
            </w:tcBorders>
            <w:tcMar>
              <w:top w:w="100" w:type="dxa"/>
              <w:left w:w="100" w:type="dxa"/>
              <w:bottom w:w="100" w:type="dxa"/>
              <w:right w:w="100" w:type="dxa"/>
            </w:tcMar>
          </w:tcPr>
          <w:p w14:paraId="79BCA6E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Significance</w:t>
            </w:r>
          </w:p>
        </w:tc>
      </w:tr>
      <w:tr w:rsidR="00D2567F" w14:paraId="32702194" w14:textId="77777777">
        <w:trPr>
          <w:trHeight w:val="545"/>
        </w:trPr>
        <w:tc>
          <w:tcPr>
            <w:tcW w:w="2130" w:type="dxa"/>
            <w:tcBorders>
              <w:top w:val="single" w:sz="4" w:space="0" w:color="404040"/>
              <w:left w:val="nil"/>
              <w:bottom w:val="nil"/>
              <w:right w:val="nil"/>
            </w:tcBorders>
            <w:tcMar>
              <w:top w:w="100" w:type="dxa"/>
              <w:left w:w="0" w:type="dxa"/>
              <w:bottom w:w="100" w:type="dxa"/>
              <w:right w:w="100" w:type="dxa"/>
            </w:tcMar>
          </w:tcPr>
          <w:p w14:paraId="46F91F7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Intercept</w:t>
            </w:r>
          </w:p>
        </w:tc>
        <w:tc>
          <w:tcPr>
            <w:tcW w:w="1425" w:type="dxa"/>
            <w:tcBorders>
              <w:top w:val="single" w:sz="4" w:space="0" w:color="404040"/>
              <w:left w:val="nil"/>
              <w:bottom w:val="nil"/>
              <w:right w:val="nil"/>
            </w:tcBorders>
            <w:tcMar>
              <w:top w:w="100" w:type="dxa"/>
              <w:left w:w="100" w:type="dxa"/>
              <w:bottom w:w="100" w:type="dxa"/>
              <w:right w:w="100" w:type="dxa"/>
            </w:tcMar>
          </w:tcPr>
          <w:p w14:paraId="5E399E5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5.10</w:t>
            </w:r>
          </w:p>
        </w:tc>
        <w:tc>
          <w:tcPr>
            <w:tcW w:w="1830" w:type="dxa"/>
            <w:tcBorders>
              <w:top w:val="single" w:sz="4" w:space="0" w:color="404040"/>
              <w:left w:val="nil"/>
              <w:bottom w:val="nil"/>
              <w:right w:val="nil"/>
            </w:tcBorders>
            <w:tcMar>
              <w:top w:w="100" w:type="dxa"/>
              <w:left w:w="100" w:type="dxa"/>
              <w:bottom w:w="100" w:type="dxa"/>
              <w:right w:w="100" w:type="dxa"/>
            </w:tcMar>
          </w:tcPr>
          <w:p w14:paraId="637BE4E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0.20</w:t>
            </w:r>
          </w:p>
        </w:tc>
        <w:tc>
          <w:tcPr>
            <w:tcW w:w="1245" w:type="dxa"/>
            <w:tcBorders>
              <w:top w:val="single" w:sz="4" w:space="0" w:color="404040"/>
              <w:left w:val="nil"/>
              <w:bottom w:val="nil"/>
              <w:right w:val="nil"/>
            </w:tcBorders>
            <w:tcMar>
              <w:top w:w="100" w:type="dxa"/>
              <w:left w:w="100" w:type="dxa"/>
              <w:bottom w:w="100" w:type="dxa"/>
              <w:right w:w="100" w:type="dxa"/>
            </w:tcMar>
          </w:tcPr>
          <w:p w14:paraId="2308D9A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25.50</w:t>
            </w:r>
          </w:p>
        </w:tc>
        <w:tc>
          <w:tcPr>
            <w:tcW w:w="1035" w:type="dxa"/>
            <w:tcBorders>
              <w:top w:val="single" w:sz="4" w:space="0" w:color="404040"/>
              <w:left w:val="nil"/>
              <w:bottom w:val="nil"/>
              <w:right w:val="nil"/>
            </w:tcBorders>
            <w:tcMar>
              <w:top w:w="100" w:type="dxa"/>
              <w:left w:w="100" w:type="dxa"/>
              <w:bottom w:w="100" w:type="dxa"/>
              <w:right w:w="100" w:type="dxa"/>
            </w:tcMar>
          </w:tcPr>
          <w:p w14:paraId="2592481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770" w:type="dxa"/>
            <w:tcBorders>
              <w:top w:val="single" w:sz="4" w:space="0" w:color="404040"/>
              <w:left w:val="nil"/>
              <w:bottom w:val="nil"/>
              <w:right w:val="nil"/>
            </w:tcBorders>
            <w:tcMar>
              <w:top w:w="100" w:type="dxa"/>
              <w:left w:w="100" w:type="dxa"/>
              <w:bottom w:w="100" w:type="dxa"/>
              <w:right w:w="100" w:type="dxa"/>
            </w:tcMar>
          </w:tcPr>
          <w:p w14:paraId="77E54AB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r>
      <w:tr w:rsidR="00D2567F" w14:paraId="7C26CD97" w14:textId="77777777">
        <w:trPr>
          <w:trHeight w:val="545"/>
        </w:trPr>
        <w:tc>
          <w:tcPr>
            <w:tcW w:w="2130" w:type="dxa"/>
            <w:tcBorders>
              <w:top w:val="nil"/>
              <w:left w:val="nil"/>
              <w:bottom w:val="nil"/>
              <w:right w:val="nil"/>
            </w:tcBorders>
            <w:tcMar>
              <w:top w:w="100" w:type="dxa"/>
              <w:left w:w="0" w:type="dxa"/>
              <w:bottom w:w="100" w:type="dxa"/>
              <w:right w:w="100" w:type="dxa"/>
            </w:tcMar>
          </w:tcPr>
          <w:p w14:paraId="12C4EF2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(2000–2011)</w:t>
            </w:r>
          </w:p>
        </w:tc>
        <w:tc>
          <w:tcPr>
            <w:tcW w:w="1425" w:type="dxa"/>
            <w:tcBorders>
              <w:top w:val="nil"/>
              <w:left w:val="nil"/>
              <w:bottom w:val="nil"/>
              <w:right w:val="nil"/>
            </w:tcBorders>
            <w:tcMar>
              <w:top w:w="100" w:type="dxa"/>
              <w:left w:w="100" w:type="dxa"/>
              <w:bottom w:w="100" w:type="dxa"/>
              <w:right w:w="100" w:type="dxa"/>
            </w:tcMar>
          </w:tcPr>
          <w:p w14:paraId="281864F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0.00</w:t>
            </w:r>
          </w:p>
        </w:tc>
        <w:tc>
          <w:tcPr>
            <w:tcW w:w="1830" w:type="dxa"/>
            <w:tcBorders>
              <w:top w:val="nil"/>
              <w:left w:val="nil"/>
              <w:bottom w:val="nil"/>
              <w:right w:val="nil"/>
            </w:tcBorders>
            <w:tcMar>
              <w:top w:w="100" w:type="dxa"/>
              <w:left w:w="100" w:type="dxa"/>
              <w:bottom w:w="100" w:type="dxa"/>
              <w:right w:w="100" w:type="dxa"/>
            </w:tcMar>
          </w:tcPr>
          <w:p w14:paraId="4AE64CD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w:t>
            </w:r>
          </w:p>
        </w:tc>
        <w:tc>
          <w:tcPr>
            <w:tcW w:w="1245" w:type="dxa"/>
            <w:tcBorders>
              <w:top w:val="nil"/>
              <w:left w:val="nil"/>
              <w:bottom w:val="nil"/>
              <w:right w:val="nil"/>
            </w:tcBorders>
            <w:tcMar>
              <w:top w:w="100" w:type="dxa"/>
              <w:left w:w="100" w:type="dxa"/>
              <w:bottom w:w="100" w:type="dxa"/>
              <w:right w:w="100" w:type="dxa"/>
            </w:tcMar>
          </w:tcPr>
          <w:p w14:paraId="001ED0A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w:t>
            </w:r>
          </w:p>
        </w:tc>
        <w:tc>
          <w:tcPr>
            <w:tcW w:w="1035" w:type="dxa"/>
            <w:tcBorders>
              <w:top w:val="nil"/>
              <w:left w:val="nil"/>
              <w:bottom w:val="nil"/>
              <w:right w:val="nil"/>
            </w:tcBorders>
            <w:tcMar>
              <w:top w:w="100" w:type="dxa"/>
              <w:left w:w="100" w:type="dxa"/>
              <w:bottom w:w="100" w:type="dxa"/>
              <w:right w:w="100" w:type="dxa"/>
            </w:tcMar>
          </w:tcPr>
          <w:p w14:paraId="3936D2B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w:t>
            </w:r>
          </w:p>
        </w:tc>
        <w:tc>
          <w:tcPr>
            <w:tcW w:w="1770" w:type="dxa"/>
            <w:tcBorders>
              <w:top w:val="nil"/>
              <w:left w:val="nil"/>
              <w:bottom w:val="nil"/>
              <w:right w:val="nil"/>
            </w:tcBorders>
            <w:tcMar>
              <w:top w:w="100" w:type="dxa"/>
              <w:left w:w="100" w:type="dxa"/>
              <w:bottom w:w="100" w:type="dxa"/>
              <w:right w:w="100" w:type="dxa"/>
            </w:tcMar>
          </w:tcPr>
          <w:p w14:paraId="073E4D4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Reference</w:t>
            </w:r>
          </w:p>
        </w:tc>
      </w:tr>
      <w:tr w:rsidR="00D2567F" w14:paraId="1712615C" w14:textId="77777777">
        <w:trPr>
          <w:trHeight w:val="545"/>
        </w:trPr>
        <w:tc>
          <w:tcPr>
            <w:tcW w:w="2130" w:type="dxa"/>
            <w:tcBorders>
              <w:top w:val="nil"/>
              <w:left w:val="nil"/>
              <w:bottom w:val="nil"/>
              <w:right w:val="nil"/>
            </w:tcBorders>
            <w:tcMar>
              <w:top w:w="100" w:type="dxa"/>
              <w:left w:w="0" w:type="dxa"/>
              <w:bottom w:w="100" w:type="dxa"/>
              <w:right w:w="100" w:type="dxa"/>
            </w:tcMar>
          </w:tcPr>
          <w:p w14:paraId="77AA1A4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(2011–2016)</w:t>
            </w:r>
          </w:p>
        </w:tc>
        <w:tc>
          <w:tcPr>
            <w:tcW w:w="1425" w:type="dxa"/>
            <w:tcBorders>
              <w:top w:val="nil"/>
              <w:left w:val="nil"/>
              <w:bottom w:val="nil"/>
              <w:right w:val="nil"/>
            </w:tcBorders>
            <w:tcMar>
              <w:top w:w="100" w:type="dxa"/>
              <w:left w:w="100" w:type="dxa"/>
              <w:bottom w:w="100" w:type="dxa"/>
              <w:right w:w="100" w:type="dxa"/>
            </w:tcMar>
          </w:tcPr>
          <w:p w14:paraId="53BF22E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0.15</w:t>
            </w:r>
          </w:p>
        </w:tc>
        <w:tc>
          <w:tcPr>
            <w:tcW w:w="1830" w:type="dxa"/>
            <w:tcBorders>
              <w:top w:val="nil"/>
              <w:left w:val="nil"/>
              <w:bottom w:val="nil"/>
              <w:right w:val="nil"/>
            </w:tcBorders>
            <w:tcMar>
              <w:top w:w="100" w:type="dxa"/>
              <w:left w:w="100" w:type="dxa"/>
              <w:bottom w:w="100" w:type="dxa"/>
              <w:right w:w="100" w:type="dxa"/>
            </w:tcMar>
          </w:tcPr>
          <w:p w14:paraId="66AA132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0.10</w:t>
            </w:r>
          </w:p>
        </w:tc>
        <w:tc>
          <w:tcPr>
            <w:tcW w:w="1245" w:type="dxa"/>
            <w:tcBorders>
              <w:top w:val="nil"/>
              <w:left w:val="nil"/>
              <w:bottom w:val="nil"/>
              <w:right w:val="nil"/>
            </w:tcBorders>
            <w:tcMar>
              <w:top w:w="100" w:type="dxa"/>
              <w:left w:w="100" w:type="dxa"/>
              <w:bottom w:w="100" w:type="dxa"/>
              <w:right w:w="100" w:type="dxa"/>
            </w:tcMar>
          </w:tcPr>
          <w:p w14:paraId="25AD1A2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1.50</w:t>
            </w:r>
          </w:p>
        </w:tc>
        <w:tc>
          <w:tcPr>
            <w:tcW w:w="1035" w:type="dxa"/>
            <w:tcBorders>
              <w:top w:val="nil"/>
              <w:left w:val="nil"/>
              <w:bottom w:val="nil"/>
              <w:right w:val="nil"/>
            </w:tcBorders>
            <w:tcMar>
              <w:top w:w="100" w:type="dxa"/>
              <w:left w:w="100" w:type="dxa"/>
              <w:bottom w:w="100" w:type="dxa"/>
              <w:right w:w="100" w:type="dxa"/>
            </w:tcMar>
          </w:tcPr>
          <w:p w14:paraId="7CD12E5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0.120</w:t>
            </w:r>
          </w:p>
        </w:tc>
        <w:tc>
          <w:tcPr>
            <w:tcW w:w="1770" w:type="dxa"/>
            <w:tcBorders>
              <w:top w:val="nil"/>
              <w:left w:val="nil"/>
              <w:bottom w:val="nil"/>
              <w:right w:val="nil"/>
            </w:tcBorders>
            <w:tcMar>
              <w:top w:w="100" w:type="dxa"/>
              <w:left w:w="100" w:type="dxa"/>
              <w:bottom w:w="100" w:type="dxa"/>
              <w:right w:w="100" w:type="dxa"/>
            </w:tcMar>
          </w:tcPr>
          <w:p w14:paraId="7FEBE08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Not Significant</w:t>
            </w:r>
          </w:p>
        </w:tc>
      </w:tr>
      <w:tr w:rsidR="00D2567F" w14:paraId="0E5AAD75" w14:textId="77777777">
        <w:trPr>
          <w:trHeight w:val="545"/>
        </w:trPr>
        <w:tc>
          <w:tcPr>
            <w:tcW w:w="2130" w:type="dxa"/>
            <w:tcBorders>
              <w:top w:val="nil"/>
              <w:left w:val="nil"/>
              <w:bottom w:val="nil"/>
              <w:right w:val="nil"/>
            </w:tcBorders>
            <w:tcMar>
              <w:top w:w="100" w:type="dxa"/>
              <w:left w:w="0" w:type="dxa"/>
              <w:bottom w:w="100" w:type="dxa"/>
              <w:right w:w="100" w:type="dxa"/>
            </w:tcMar>
          </w:tcPr>
          <w:p w14:paraId="372DBBB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NLD (2016–2021)</w:t>
            </w:r>
          </w:p>
        </w:tc>
        <w:tc>
          <w:tcPr>
            <w:tcW w:w="1425" w:type="dxa"/>
            <w:tcBorders>
              <w:top w:val="nil"/>
              <w:left w:val="nil"/>
              <w:bottom w:val="nil"/>
              <w:right w:val="nil"/>
            </w:tcBorders>
            <w:tcMar>
              <w:top w:w="100" w:type="dxa"/>
              <w:left w:w="100" w:type="dxa"/>
              <w:bottom w:w="100" w:type="dxa"/>
              <w:right w:w="100" w:type="dxa"/>
            </w:tcMar>
          </w:tcPr>
          <w:p w14:paraId="70867B1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1.20</w:t>
            </w:r>
          </w:p>
        </w:tc>
        <w:tc>
          <w:tcPr>
            <w:tcW w:w="1830" w:type="dxa"/>
            <w:tcBorders>
              <w:top w:val="nil"/>
              <w:left w:val="nil"/>
              <w:bottom w:val="nil"/>
              <w:right w:val="nil"/>
            </w:tcBorders>
            <w:tcMar>
              <w:top w:w="100" w:type="dxa"/>
              <w:left w:w="100" w:type="dxa"/>
              <w:bottom w:w="100" w:type="dxa"/>
              <w:right w:w="100" w:type="dxa"/>
            </w:tcMar>
          </w:tcPr>
          <w:p w14:paraId="722E3DD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0.15</w:t>
            </w:r>
          </w:p>
        </w:tc>
        <w:tc>
          <w:tcPr>
            <w:tcW w:w="1245" w:type="dxa"/>
            <w:tcBorders>
              <w:top w:val="nil"/>
              <w:left w:val="nil"/>
              <w:bottom w:val="nil"/>
              <w:right w:val="nil"/>
            </w:tcBorders>
            <w:tcMar>
              <w:top w:w="100" w:type="dxa"/>
              <w:left w:w="100" w:type="dxa"/>
              <w:bottom w:w="100" w:type="dxa"/>
              <w:right w:w="100" w:type="dxa"/>
            </w:tcMar>
          </w:tcPr>
          <w:p w14:paraId="7307120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8.00</w:t>
            </w:r>
          </w:p>
        </w:tc>
        <w:tc>
          <w:tcPr>
            <w:tcW w:w="1035" w:type="dxa"/>
            <w:tcBorders>
              <w:top w:val="nil"/>
              <w:left w:val="nil"/>
              <w:bottom w:val="nil"/>
              <w:right w:val="nil"/>
            </w:tcBorders>
            <w:tcMar>
              <w:top w:w="100" w:type="dxa"/>
              <w:left w:w="100" w:type="dxa"/>
              <w:bottom w:w="100" w:type="dxa"/>
              <w:right w:w="100" w:type="dxa"/>
            </w:tcMar>
          </w:tcPr>
          <w:p w14:paraId="714BAE4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770" w:type="dxa"/>
            <w:tcBorders>
              <w:top w:val="nil"/>
              <w:left w:val="nil"/>
              <w:bottom w:val="nil"/>
              <w:right w:val="nil"/>
            </w:tcBorders>
            <w:tcMar>
              <w:top w:w="100" w:type="dxa"/>
              <w:left w:w="100" w:type="dxa"/>
              <w:bottom w:w="100" w:type="dxa"/>
              <w:right w:w="100" w:type="dxa"/>
            </w:tcMar>
          </w:tcPr>
          <w:p w14:paraId="7F69868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r>
      <w:tr w:rsidR="00D2567F" w14:paraId="28A72BBF" w14:textId="77777777">
        <w:trPr>
          <w:trHeight w:val="545"/>
        </w:trPr>
        <w:tc>
          <w:tcPr>
            <w:tcW w:w="2130" w:type="dxa"/>
            <w:tcBorders>
              <w:top w:val="nil"/>
              <w:left w:val="nil"/>
              <w:bottom w:val="nil"/>
              <w:right w:val="nil"/>
            </w:tcBorders>
            <w:tcMar>
              <w:top w:w="100" w:type="dxa"/>
              <w:left w:w="0" w:type="dxa"/>
              <w:bottom w:w="100" w:type="dxa"/>
              <w:right w:w="100" w:type="dxa"/>
            </w:tcMar>
          </w:tcPr>
          <w:p w14:paraId="47BD0ED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SAC (2021–2024)</w:t>
            </w:r>
          </w:p>
        </w:tc>
        <w:tc>
          <w:tcPr>
            <w:tcW w:w="1425" w:type="dxa"/>
            <w:tcBorders>
              <w:top w:val="nil"/>
              <w:left w:val="nil"/>
              <w:bottom w:val="nil"/>
              <w:right w:val="nil"/>
            </w:tcBorders>
            <w:tcMar>
              <w:top w:w="100" w:type="dxa"/>
              <w:left w:w="100" w:type="dxa"/>
              <w:bottom w:w="100" w:type="dxa"/>
              <w:right w:w="100" w:type="dxa"/>
            </w:tcMar>
          </w:tcPr>
          <w:p w14:paraId="3AEEFD7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-10.50</w:t>
            </w:r>
          </w:p>
        </w:tc>
        <w:tc>
          <w:tcPr>
            <w:tcW w:w="1830" w:type="dxa"/>
            <w:tcBorders>
              <w:top w:val="nil"/>
              <w:left w:val="nil"/>
              <w:bottom w:val="nil"/>
              <w:right w:val="nil"/>
            </w:tcBorders>
            <w:tcMar>
              <w:top w:w="100" w:type="dxa"/>
              <w:left w:w="100" w:type="dxa"/>
              <w:bottom w:w="100" w:type="dxa"/>
              <w:right w:w="100" w:type="dxa"/>
            </w:tcMar>
          </w:tcPr>
          <w:p w14:paraId="7D7E69E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0.50</w:t>
            </w:r>
          </w:p>
        </w:tc>
        <w:tc>
          <w:tcPr>
            <w:tcW w:w="1245" w:type="dxa"/>
            <w:tcBorders>
              <w:top w:val="nil"/>
              <w:left w:val="nil"/>
              <w:bottom w:val="nil"/>
              <w:right w:val="nil"/>
            </w:tcBorders>
            <w:tcMar>
              <w:top w:w="100" w:type="dxa"/>
              <w:left w:w="100" w:type="dxa"/>
              <w:bottom w:w="100" w:type="dxa"/>
              <w:right w:w="100" w:type="dxa"/>
            </w:tcMar>
          </w:tcPr>
          <w:p w14:paraId="75B20BD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-21.00</w:t>
            </w:r>
          </w:p>
        </w:tc>
        <w:tc>
          <w:tcPr>
            <w:tcW w:w="1035" w:type="dxa"/>
            <w:tcBorders>
              <w:top w:val="nil"/>
              <w:left w:val="nil"/>
              <w:bottom w:val="nil"/>
              <w:right w:val="nil"/>
            </w:tcBorders>
            <w:tcMar>
              <w:top w:w="100" w:type="dxa"/>
              <w:left w:w="100" w:type="dxa"/>
              <w:bottom w:w="100" w:type="dxa"/>
              <w:right w:w="100" w:type="dxa"/>
            </w:tcMar>
          </w:tcPr>
          <w:p w14:paraId="4A7E708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770" w:type="dxa"/>
            <w:tcBorders>
              <w:top w:val="nil"/>
              <w:left w:val="nil"/>
              <w:bottom w:val="nil"/>
              <w:right w:val="nil"/>
            </w:tcBorders>
            <w:tcMar>
              <w:top w:w="100" w:type="dxa"/>
              <w:left w:w="100" w:type="dxa"/>
              <w:bottom w:w="100" w:type="dxa"/>
              <w:right w:w="100" w:type="dxa"/>
            </w:tcMar>
          </w:tcPr>
          <w:p w14:paraId="6FAF06D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r>
      <w:tr w:rsidR="00D2567F" w14:paraId="682B5792" w14:textId="77777777">
        <w:trPr>
          <w:trHeight w:val="545"/>
        </w:trPr>
        <w:tc>
          <w:tcPr>
            <w:tcW w:w="2130" w:type="dxa"/>
            <w:tcBorders>
              <w:top w:val="nil"/>
              <w:left w:val="nil"/>
              <w:bottom w:val="nil"/>
              <w:right w:val="nil"/>
            </w:tcBorders>
            <w:tcMar>
              <w:top w:w="100" w:type="dxa"/>
              <w:left w:w="0" w:type="dxa"/>
              <w:bottom w:w="100" w:type="dxa"/>
              <w:right w:w="100" w:type="dxa"/>
            </w:tcMar>
          </w:tcPr>
          <w:p w14:paraId="304601C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FDI as % of GDP</w:t>
            </w:r>
          </w:p>
        </w:tc>
        <w:tc>
          <w:tcPr>
            <w:tcW w:w="1425" w:type="dxa"/>
            <w:tcBorders>
              <w:top w:val="nil"/>
              <w:left w:val="nil"/>
              <w:bottom w:val="nil"/>
              <w:right w:val="nil"/>
            </w:tcBorders>
            <w:tcMar>
              <w:top w:w="100" w:type="dxa"/>
              <w:left w:w="100" w:type="dxa"/>
              <w:bottom w:w="100" w:type="dxa"/>
              <w:right w:w="100" w:type="dxa"/>
            </w:tcMar>
          </w:tcPr>
          <w:p w14:paraId="08BDE18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0.52</w:t>
            </w:r>
          </w:p>
        </w:tc>
        <w:tc>
          <w:tcPr>
            <w:tcW w:w="1830" w:type="dxa"/>
            <w:tcBorders>
              <w:top w:val="nil"/>
              <w:left w:val="nil"/>
              <w:bottom w:val="nil"/>
              <w:right w:val="nil"/>
            </w:tcBorders>
            <w:tcMar>
              <w:top w:w="100" w:type="dxa"/>
              <w:left w:w="100" w:type="dxa"/>
              <w:bottom w:w="100" w:type="dxa"/>
              <w:right w:w="100" w:type="dxa"/>
            </w:tcMar>
          </w:tcPr>
          <w:p w14:paraId="77824D3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0.04</w:t>
            </w:r>
          </w:p>
        </w:tc>
        <w:tc>
          <w:tcPr>
            <w:tcW w:w="1245" w:type="dxa"/>
            <w:tcBorders>
              <w:top w:val="nil"/>
              <w:left w:val="nil"/>
              <w:bottom w:val="nil"/>
              <w:right w:val="nil"/>
            </w:tcBorders>
            <w:tcMar>
              <w:top w:w="100" w:type="dxa"/>
              <w:left w:w="100" w:type="dxa"/>
              <w:bottom w:w="100" w:type="dxa"/>
              <w:right w:w="100" w:type="dxa"/>
            </w:tcMar>
          </w:tcPr>
          <w:p w14:paraId="5CD907E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13.00</w:t>
            </w:r>
          </w:p>
        </w:tc>
        <w:tc>
          <w:tcPr>
            <w:tcW w:w="1035" w:type="dxa"/>
            <w:tcBorders>
              <w:top w:val="nil"/>
              <w:left w:val="nil"/>
              <w:bottom w:val="nil"/>
              <w:right w:val="nil"/>
            </w:tcBorders>
            <w:tcMar>
              <w:top w:w="100" w:type="dxa"/>
              <w:left w:w="100" w:type="dxa"/>
              <w:bottom w:w="100" w:type="dxa"/>
              <w:right w:w="100" w:type="dxa"/>
            </w:tcMar>
          </w:tcPr>
          <w:p w14:paraId="0D11095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770" w:type="dxa"/>
            <w:tcBorders>
              <w:top w:val="nil"/>
              <w:left w:val="nil"/>
              <w:bottom w:val="nil"/>
              <w:right w:val="nil"/>
            </w:tcBorders>
            <w:tcMar>
              <w:top w:w="100" w:type="dxa"/>
              <w:left w:w="100" w:type="dxa"/>
              <w:bottom w:w="100" w:type="dxa"/>
              <w:right w:w="100" w:type="dxa"/>
            </w:tcMar>
          </w:tcPr>
          <w:p w14:paraId="61A092C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r>
      <w:tr w:rsidR="00D2567F" w14:paraId="4CBA9121" w14:textId="77777777">
        <w:trPr>
          <w:trHeight w:val="545"/>
        </w:trPr>
        <w:tc>
          <w:tcPr>
            <w:tcW w:w="2130" w:type="dxa"/>
            <w:tcBorders>
              <w:top w:val="nil"/>
              <w:left w:val="nil"/>
              <w:bottom w:val="nil"/>
              <w:right w:val="nil"/>
            </w:tcBorders>
            <w:tcMar>
              <w:top w:w="100" w:type="dxa"/>
              <w:left w:w="0" w:type="dxa"/>
              <w:bottom w:w="100" w:type="dxa"/>
              <w:right w:w="100" w:type="dxa"/>
            </w:tcMar>
          </w:tcPr>
          <w:p w14:paraId="61CB6B3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Inflation Rate (%)</w:t>
            </w:r>
          </w:p>
        </w:tc>
        <w:tc>
          <w:tcPr>
            <w:tcW w:w="1425" w:type="dxa"/>
            <w:tcBorders>
              <w:top w:val="nil"/>
              <w:left w:val="nil"/>
              <w:bottom w:val="nil"/>
              <w:right w:val="nil"/>
            </w:tcBorders>
            <w:tcMar>
              <w:top w:w="100" w:type="dxa"/>
              <w:left w:w="100" w:type="dxa"/>
              <w:bottom w:w="100" w:type="dxa"/>
              <w:right w:w="100" w:type="dxa"/>
            </w:tcMar>
          </w:tcPr>
          <w:p w14:paraId="53DDA58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-0.15</w:t>
            </w:r>
          </w:p>
        </w:tc>
        <w:tc>
          <w:tcPr>
            <w:tcW w:w="1830" w:type="dxa"/>
            <w:tcBorders>
              <w:top w:val="nil"/>
              <w:left w:val="nil"/>
              <w:bottom w:val="nil"/>
              <w:right w:val="nil"/>
            </w:tcBorders>
            <w:tcMar>
              <w:top w:w="100" w:type="dxa"/>
              <w:left w:w="100" w:type="dxa"/>
              <w:bottom w:w="100" w:type="dxa"/>
              <w:right w:w="100" w:type="dxa"/>
            </w:tcMar>
          </w:tcPr>
          <w:p w14:paraId="7924FA5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0.02</w:t>
            </w:r>
          </w:p>
        </w:tc>
        <w:tc>
          <w:tcPr>
            <w:tcW w:w="1245" w:type="dxa"/>
            <w:tcBorders>
              <w:top w:val="nil"/>
              <w:left w:val="nil"/>
              <w:bottom w:val="nil"/>
              <w:right w:val="nil"/>
            </w:tcBorders>
            <w:tcMar>
              <w:top w:w="100" w:type="dxa"/>
              <w:left w:w="100" w:type="dxa"/>
              <w:bottom w:w="100" w:type="dxa"/>
              <w:right w:w="100" w:type="dxa"/>
            </w:tcMar>
          </w:tcPr>
          <w:p w14:paraId="1AA5FAC9"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-7.50</w:t>
            </w:r>
          </w:p>
        </w:tc>
        <w:tc>
          <w:tcPr>
            <w:tcW w:w="1035" w:type="dxa"/>
            <w:tcBorders>
              <w:top w:val="nil"/>
              <w:left w:val="nil"/>
              <w:bottom w:val="nil"/>
              <w:right w:val="nil"/>
            </w:tcBorders>
            <w:tcMar>
              <w:top w:w="100" w:type="dxa"/>
              <w:left w:w="100" w:type="dxa"/>
              <w:bottom w:w="100" w:type="dxa"/>
              <w:right w:w="100" w:type="dxa"/>
            </w:tcMar>
          </w:tcPr>
          <w:p w14:paraId="6C92B6A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770" w:type="dxa"/>
            <w:tcBorders>
              <w:top w:val="nil"/>
              <w:left w:val="nil"/>
              <w:bottom w:val="nil"/>
              <w:right w:val="nil"/>
            </w:tcBorders>
            <w:tcMar>
              <w:top w:w="100" w:type="dxa"/>
              <w:left w:w="100" w:type="dxa"/>
              <w:bottom w:w="100" w:type="dxa"/>
              <w:right w:w="100" w:type="dxa"/>
            </w:tcMar>
          </w:tcPr>
          <w:p w14:paraId="53750E8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r>
      <w:tr w:rsidR="00D2567F" w14:paraId="3FA74AAE" w14:textId="77777777">
        <w:trPr>
          <w:trHeight w:val="545"/>
        </w:trPr>
        <w:tc>
          <w:tcPr>
            <w:tcW w:w="9435" w:type="dxa"/>
            <w:gridSpan w:val="6"/>
            <w:tcBorders>
              <w:top w:val="nil"/>
              <w:left w:val="nil"/>
              <w:bottom w:val="nil"/>
              <w:right w:val="nil"/>
            </w:tcBorders>
            <w:tcMar>
              <w:top w:w="100" w:type="dxa"/>
              <w:left w:w="0" w:type="dxa"/>
              <w:bottom w:w="100" w:type="dxa"/>
              <w:right w:w="100" w:type="dxa"/>
            </w:tcMar>
          </w:tcPr>
          <w:p w14:paraId="2C5E7B2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R-squared: 0.92</w:t>
            </w:r>
          </w:p>
        </w:tc>
      </w:tr>
      <w:tr w:rsidR="00D2567F" w14:paraId="6F64EE06" w14:textId="77777777">
        <w:trPr>
          <w:trHeight w:val="545"/>
        </w:trPr>
        <w:tc>
          <w:tcPr>
            <w:tcW w:w="9435" w:type="dxa"/>
            <w:gridSpan w:val="6"/>
            <w:tcBorders>
              <w:top w:val="nil"/>
              <w:left w:val="nil"/>
              <w:bottom w:val="nil"/>
              <w:right w:val="nil"/>
            </w:tcBorders>
            <w:tcMar>
              <w:top w:w="100" w:type="dxa"/>
              <w:left w:w="0" w:type="dxa"/>
              <w:bottom w:w="100" w:type="dxa"/>
              <w:right w:w="100" w:type="dxa"/>
            </w:tcMar>
          </w:tcPr>
          <w:p w14:paraId="0FE8C1F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Adjusted R-squared: 0.91</w:t>
            </w:r>
          </w:p>
        </w:tc>
      </w:tr>
      <w:tr w:rsidR="00D2567F" w14:paraId="0A079B86" w14:textId="77777777">
        <w:trPr>
          <w:trHeight w:val="545"/>
        </w:trPr>
        <w:tc>
          <w:tcPr>
            <w:tcW w:w="9435" w:type="dxa"/>
            <w:gridSpan w:val="6"/>
            <w:tcBorders>
              <w:top w:val="nil"/>
              <w:left w:val="nil"/>
              <w:bottom w:val="single" w:sz="4" w:space="0" w:color="404040"/>
              <w:right w:val="nil"/>
            </w:tcBorders>
            <w:tcMar>
              <w:top w:w="100" w:type="dxa"/>
              <w:left w:w="0" w:type="dxa"/>
              <w:bottom w:w="100" w:type="dxa"/>
              <w:right w:w="100" w:type="dxa"/>
            </w:tcMar>
          </w:tcPr>
          <w:p w14:paraId="0E0C543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F-statistic: 210.50 (p &lt; </w:t>
            </w:r>
            <w:r>
              <w:rPr>
                <w:rFonts w:ascii="Times New Roman" w:eastAsia="Times New Roman" w:hAnsi="Times New Roman" w:cs="Times New Roman"/>
                <w:color w:val="404040"/>
                <w:sz w:val="24"/>
                <w:szCs w:val="24"/>
              </w:rPr>
              <w:t>0.001)</w:t>
            </w:r>
          </w:p>
        </w:tc>
      </w:tr>
    </w:tbl>
    <w:p w14:paraId="60E6197A"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regression analysis with dummy variables examines the impact of government administrations on GDP growth, controlling for FDI as a percentage of GDP and inflation. The model’s high R-squared (0.92) and adjusted R-squared (0.91) suggest a strong</w:t>
      </w:r>
      <w:r>
        <w:rPr>
          <w:rFonts w:ascii="Times New Roman" w:eastAsia="Times New Roman" w:hAnsi="Times New Roman" w:cs="Times New Roman"/>
          <w:color w:val="404040"/>
          <w:sz w:val="24"/>
          <w:szCs w:val="24"/>
        </w:rPr>
        <w:t xml:space="preserve"> explanatory power for the independent variables.</w:t>
      </w:r>
    </w:p>
    <w:p w14:paraId="766C4731"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SPDC (2000–2011) government is the reference category. The USDP (2011–2016) administration shows no statistically significant difference in GDP growth compared to SPDC (coefficient = 0.15, p-value = 0.1</w:t>
      </w:r>
      <w:r>
        <w:rPr>
          <w:rFonts w:ascii="Times New Roman" w:eastAsia="Times New Roman" w:hAnsi="Times New Roman" w:cs="Times New Roman"/>
          <w:color w:val="404040"/>
          <w:sz w:val="24"/>
          <w:szCs w:val="24"/>
        </w:rPr>
        <w:t>20). The NLD (2016–2021) administration significantly boosted GDP growth (coefficient = 1.20, p &lt; 0.001), while the SAC (2021–2024) administration caused a sharp decline (coefficient = -10.50, p &lt; 0.001).</w:t>
      </w:r>
    </w:p>
    <w:p w14:paraId="32F415E4"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FDI positively impacts GDP growth (coefficient = </w:t>
      </w:r>
      <w:r>
        <w:rPr>
          <w:rFonts w:ascii="Times New Roman" w:eastAsia="Times New Roman" w:hAnsi="Times New Roman" w:cs="Times New Roman"/>
          <w:color w:val="404040"/>
          <w:sz w:val="24"/>
          <w:szCs w:val="24"/>
        </w:rPr>
        <w:t xml:space="preserve">0.52, p &lt; 0.001), while inflation has a negative effect (coefficient = -0.15, p &lt; 0.001). The overall F-statistic (210.50, p &lt; 0.001) confirms </w:t>
      </w:r>
      <w:r>
        <w:rPr>
          <w:rFonts w:ascii="Times New Roman" w:eastAsia="Times New Roman" w:hAnsi="Times New Roman" w:cs="Times New Roman"/>
          <w:color w:val="404040"/>
          <w:sz w:val="24"/>
          <w:szCs w:val="24"/>
        </w:rPr>
        <w:lastRenderedPageBreak/>
        <w:t xml:space="preserve">the model’s significance. In summary, the NLD period saw strong growth, while the SAC period experienced a sharp </w:t>
      </w:r>
      <w:r>
        <w:rPr>
          <w:rFonts w:ascii="Times New Roman" w:eastAsia="Times New Roman" w:hAnsi="Times New Roman" w:cs="Times New Roman"/>
          <w:color w:val="404040"/>
          <w:sz w:val="24"/>
          <w:szCs w:val="24"/>
        </w:rPr>
        <w:t>decline, with FDI contributing positively and inflation negatively.</w:t>
      </w:r>
    </w:p>
    <w:p w14:paraId="58F8A5AA" w14:textId="77777777" w:rsidR="00D2567F" w:rsidRDefault="003D3F15">
      <w:pPr>
        <w:pStyle w:val="Heading3"/>
        <w:keepNext w:val="0"/>
        <w:keepLines w:val="0"/>
        <w:spacing w:before="0" w:after="0" w:line="360" w:lineRule="auto"/>
        <w:jc w:val="both"/>
        <w:rPr>
          <w:rFonts w:ascii="Times New Roman" w:eastAsia="Times New Roman" w:hAnsi="Times New Roman" w:cs="Times New Roman"/>
          <w:b/>
          <w:color w:val="404040"/>
          <w:sz w:val="24"/>
          <w:szCs w:val="24"/>
        </w:rPr>
      </w:pPr>
      <w:bookmarkStart w:id="9" w:name="_heading=h.2s8eyo1" w:colFirst="0" w:colLast="0"/>
      <w:bookmarkEnd w:id="9"/>
      <w:r>
        <w:rPr>
          <w:rFonts w:ascii="Times New Roman" w:eastAsia="Times New Roman" w:hAnsi="Times New Roman" w:cs="Times New Roman"/>
          <w:b/>
          <w:color w:val="404040"/>
          <w:sz w:val="24"/>
          <w:szCs w:val="24"/>
        </w:rPr>
        <w:t>3.4. Chow Test for Structural Breaks</w:t>
      </w: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3365"/>
        <w:gridCol w:w="1165"/>
        <w:gridCol w:w="965"/>
        <w:gridCol w:w="1495"/>
        <w:gridCol w:w="2370"/>
      </w:tblGrid>
      <w:tr w:rsidR="00D2567F" w14:paraId="388D25F2" w14:textId="77777777">
        <w:trPr>
          <w:trHeight w:val="845"/>
        </w:trPr>
        <w:tc>
          <w:tcPr>
            <w:tcW w:w="3363" w:type="dxa"/>
            <w:tcBorders>
              <w:top w:val="single" w:sz="4" w:space="0" w:color="404040"/>
              <w:left w:val="nil"/>
              <w:bottom w:val="single" w:sz="4" w:space="0" w:color="404040"/>
              <w:right w:val="nil"/>
            </w:tcBorders>
            <w:tcMar>
              <w:top w:w="100" w:type="dxa"/>
              <w:left w:w="0" w:type="dxa"/>
              <w:bottom w:w="100" w:type="dxa"/>
              <w:right w:w="100" w:type="dxa"/>
            </w:tcMar>
          </w:tcPr>
          <w:p w14:paraId="55F862C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Government Transition</w:t>
            </w:r>
          </w:p>
        </w:tc>
        <w:tc>
          <w:tcPr>
            <w:tcW w:w="1165" w:type="dxa"/>
            <w:tcBorders>
              <w:top w:val="single" w:sz="4" w:space="0" w:color="404040"/>
              <w:left w:val="nil"/>
              <w:bottom w:val="single" w:sz="4" w:space="0" w:color="404040"/>
              <w:right w:val="nil"/>
            </w:tcBorders>
            <w:tcMar>
              <w:top w:w="100" w:type="dxa"/>
              <w:left w:w="100" w:type="dxa"/>
              <w:bottom w:w="100" w:type="dxa"/>
              <w:right w:w="100" w:type="dxa"/>
            </w:tcMar>
          </w:tcPr>
          <w:p w14:paraId="34F2DF2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F-statistic</w:t>
            </w:r>
          </w:p>
        </w:tc>
        <w:tc>
          <w:tcPr>
            <w:tcW w:w="965" w:type="dxa"/>
            <w:tcBorders>
              <w:top w:val="single" w:sz="4" w:space="0" w:color="404040"/>
              <w:left w:val="nil"/>
              <w:bottom w:val="single" w:sz="4" w:space="0" w:color="404040"/>
              <w:right w:val="nil"/>
            </w:tcBorders>
            <w:tcMar>
              <w:top w:w="100" w:type="dxa"/>
              <w:left w:w="100" w:type="dxa"/>
              <w:bottom w:w="100" w:type="dxa"/>
              <w:right w:w="100" w:type="dxa"/>
            </w:tcMar>
          </w:tcPr>
          <w:p w14:paraId="64670FF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p-value</w:t>
            </w:r>
          </w:p>
        </w:tc>
        <w:tc>
          <w:tcPr>
            <w:tcW w:w="1495" w:type="dxa"/>
            <w:tcBorders>
              <w:top w:val="single" w:sz="4" w:space="0" w:color="404040"/>
              <w:left w:val="nil"/>
              <w:bottom w:val="single" w:sz="4" w:space="0" w:color="404040"/>
              <w:right w:val="nil"/>
            </w:tcBorders>
            <w:tcMar>
              <w:top w:w="100" w:type="dxa"/>
              <w:left w:w="100" w:type="dxa"/>
              <w:bottom w:w="100" w:type="dxa"/>
              <w:right w:w="100" w:type="dxa"/>
            </w:tcMar>
          </w:tcPr>
          <w:p w14:paraId="60DB5C4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Significance</w:t>
            </w:r>
          </w:p>
        </w:tc>
        <w:tc>
          <w:tcPr>
            <w:tcW w:w="2369" w:type="dxa"/>
            <w:tcBorders>
              <w:top w:val="single" w:sz="4" w:space="0" w:color="404040"/>
              <w:left w:val="nil"/>
              <w:bottom w:val="single" w:sz="4" w:space="0" w:color="404040"/>
              <w:right w:val="nil"/>
            </w:tcBorders>
            <w:tcMar>
              <w:top w:w="100" w:type="dxa"/>
              <w:left w:w="100" w:type="dxa"/>
              <w:bottom w:w="100" w:type="dxa"/>
              <w:right w:w="100" w:type="dxa"/>
            </w:tcMar>
          </w:tcPr>
          <w:p w14:paraId="5A70E85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Conclusion</w:t>
            </w:r>
          </w:p>
        </w:tc>
      </w:tr>
      <w:tr w:rsidR="00D2567F" w14:paraId="0AE51F42" w14:textId="77777777">
        <w:trPr>
          <w:trHeight w:val="875"/>
        </w:trPr>
        <w:tc>
          <w:tcPr>
            <w:tcW w:w="3363" w:type="dxa"/>
            <w:tcBorders>
              <w:top w:val="single" w:sz="4" w:space="0" w:color="404040"/>
              <w:left w:val="nil"/>
              <w:bottom w:val="nil"/>
              <w:right w:val="nil"/>
            </w:tcBorders>
            <w:tcMar>
              <w:top w:w="100" w:type="dxa"/>
              <w:left w:w="0" w:type="dxa"/>
              <w:bottom w:w="100" w:type="dxa"/>
              <w:right w:w="100" w:type="dxa"/>
            </w:tcMar>
          </w:tcPr>
          <w:p w14:paraId="19F5897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(2000–2011) to USDP (2011–2016)</w:t>
            </w:r>
          </w:p>
        </w:tc>
        <w:tc>
          <w:tcPr>
            <w:tcW w:w="1165" w:type="dxa"/>
            <w:tcBorders>
              <w:top w:val="single" w:sz="4" w:space="0" w:color="404040"/>
              <w:left w:val="nil"/>
              <w:bottom w:val="nil"/>
              <w:right w:val="nil"/>
            </w:tcBorders>
            <w:tcMar>
              <w:top w:w="100" w:type="dxa"/>
              <w:left w:w="100" w:type="dxa"/>
              <w:bottom w:w="100" w:type="dxa"/>
              <w:right w:w="100" w:type="dxa"/>
            </w:tcMar>
          </w:tcPr>
          <w:p w14:paraId="7BA63CF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3.20</w:t>
            </w:r>
          </w:p>
        </w:tc>
        <w:tc>
          <w:tcPr>
            <w:tcW w:w="965" w:type="dxa"/>
            <w:tcBorders>
              <w:top w:val="single" w:sz="4" w:space="0" w:color="404040"/>
              <w:left w:val="nil"/>
              <w:bottom w:val="nil"/>
              <w:right w:val="nil"/>
            </w:tcBorders>
            <w:tcMar>
              <w:top w:w="100" w:type="dxa"/>
              <w:left w:w="100" w:type="dxa"/>
              <w:bottom w:w="100" w:type="dxa"/>
              <w:right w:w="100" w:type="dxa"/>
            </w:tcMar>
          </w:tcPr>
          <w:p w14:paraId="337DC12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0.045</w:t>
            </w:r>
          </w:p>
        </w:tc>
        <w:tc>
          <w:tcPr>
            <w:tcW w:w="1495" w:type="dxa"/>
            <w:tcBorders>
              <w:top w:val="single" w:sz="4" w:space="0" w:color="404040"/>
              <w:left w:val="nil"/>
              <w:bottom w:val="nil"/>
              <w:right w:val="nil"/>
            </w:tcBorders>
            <w:tcMar>
              <w:top w:w="100" w:type="dxa"/>
              <w:left w:w="100" w:type="dxa"/>
              <w:bottom w:w="100" w:type="dxa"/>
              <w:right w:w="100" w:type="dxa"/>
            </w:tcMar>
          </w:tcPr>
          <w:p w14:paraId="7A688F1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369" w:type="dxa"/>
            <w:tcBorders>
              <w:top w:val="single" w:sz="4" w:space="0" w:color="404040"/>
              <w:left w:val="nil"/>
              <w:bottom w:val="nil"/>
              <w:right w:val="nil"/>
            </w:tcBorders>
            <w:tcMar>
              <w:top w:w="100" w:type="dxa"/>
              <w:left w:w="100" w:type="dxa"/>
              <w:bottom w:w="100" w:type="dxa"/>
              <w:right w:w="100" w:type="dxa"/>
            </w:tcMar>
          </w:tcPr>
          <w:p w14:paraId="184785CF" w14:textId="77777777" w:rsidR="00D2567F" w:rsidRDefault="003D3F15">
            <w:pPr>
              <w:spacing w:line="36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Structural break </w:t>
            </w:r>
            <w:r>
              <w:rPr>
                <w:rFonts w:ascii="Times New Roman" w:eastAsia="Times New Roman" w:hAnsi="Times New Roman" w:cs="Times New Roman"/>
                <w:color w:val="404040"/>
                <w:sz w:val="24"/>
                <w:szCs w:val="24"/>
              </w:rPr>
              <w:t>detected.</w:t>
            </w:r>
          </w:p>
        </w:tc>
      </w:tr>
      <w:tr w:rsidR="00D2567F" w14:paraId="2E46B6A0" w14:textId="77777777">
        <w:trPr>
          <w:trHeight w:val="875"/>
        </w:trPr>
        <w:tc>
          <w:tcPr>
            <w:tcW w:w="3363" w:type="dxa"/>
            <w:tcBorders>
              <w:top w:val="nil"/>
              <w:left w:val="nil"/>
              <w:bottom w:val="nil"/>
              <w:right w:val="nil"/>
            </w:tcBorders>
            <w:tcMar>
              <w:top w:w="100" w:type="dxa"/>
              <w:left w:w="0" w:type="dxa"/>
              <w:bottom w:w="100" w:type="dxa"/>
              <w:right w:w="100" w:type="dxa"/>
            </w:tcMar>
          </w:tcPr>
          <w:p w14:paraId="12ECDE4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(2011–2016) to NLD (2016–2021)</w:t>
            </w:r>
          </w:p>
        </w:tc>
        <w:tc>
          <w:tcPr>
            <w:tcW w:w="1165" w:type="dxa"/>
            <w:tcBorders>
              <w:top w:val="nil"/>
              <w:left w:val="nil"/>
              <w:bottom w:val="nil"/>
              <w:right w:val="nil"/>
            </w:tcBorders>
            <w:tcMar>
              <w:top w:w="100" w:type="dxa"/>
              <w:left w:w="100" w:type="dxa"/>
              <w:bottom w:w="100" w:type="dxa"/>
              <w:right w:w="100" w:type="dxa"/>
            </w:tcMar>
          </w:tcPr>
          <w:p w14:paraId="2417FF3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5.80</w:t>
            </w:r>
          </w:p>
        </w:tc>
        <w:tc>
          <w:tcPr>
            <w:tcW w:w="965" w:type="dxa"/>
            <w:tcBorders>
              <w:top w:val="nil"/>
              <w:left w:val="nil"/>
              <w:bottom w:val="nil"/>
              <w:right w:val="nil"/>
            </w:tcBorders>
            <w:tcMar>
              <w:top w:w="100" w:type="dxa"/>
              <w:left w:w="100" w:type="dxa"/>
              <w:bottom w:w="100" w:type="dxa"/>
              <w:right w:w="100" w:type="dxa"/>
            </w:tcMar>
          </w:tcPr>
          <w:p w14:paraId="47A6CE6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0.010</w:t>
            </w:r>
          </w:p>
        </w:tc>
        <w:tc>
          <w:tcPr>
            <w:tcW w:w="1495" w:type="dxa"/>
            <w:tcBorders>
              <w:top w:val="nil"/>
              <w:left w:val="nil"/>
              <w:bottom w:val="nil"/>
              <w:right w:val="nil"/>
            </w:tcBorders>
            <w:tcMar>
              <w:top w:w="100" w:type="dxa"/>
              <w:left w:w="100" w:type="dxa"/>
              <w:bottom w:w="100" w:type="dxa"/>
              <w:right w:w="100" w:type="dxa"/>
            </w:tcMar>
          </w:tcPr>
          <w:p w14:paraId="65481A34"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369" w:type="dxa"/>
            <w:tcBorders>
              <w:top w:val="nil"/>
              <w:left w:val="nil"/>
              <w:bottom w:val="nil"/>
              <w:right w:val="nil"/>
            </w:tcBorders>
            <w:tcMar>
              <w:top w:w="100" w:type="dxa"/>
              <w:left w:w="100" w:type="dxa"/>
              <w:bottom w:w="100" w:type="dxa"/>
              <w:right w:w="100" w:type="dxa"/>
            </w:tcMar>
          </w:tcPr>
          <w:p w14:paraId="1A223B39" w14:textId="77777777" w:rsidR="00D2567F" w:rsidRDefault="003D3F15">
            <w:pPr>
              <w:spacing w:line="36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Structural break detected.</w:t>
            </w:r>
          </w:p>
        </w:tc>
      </w:tr>
      <w:tr w:rsidR="00D2567F" w14:paraId="1F11B54D" w14:textId="77777777">
        <w:trPr>
          <w:trHeight w:val="875"/>
        </w:trPr>
        <w:tc>
          <w:tcPr>
            <w:tcW w:w="3363" w:type="dxa"/>
            <w:tcBorders>
              <w:top w:val="nil"/>
              <w:left w:val="nil"/>
              <w:bottom w:val="single" w:sz="4" w:space="0" w:color="404040"/>
              <w:right w:val="nil"/>
            </w:tcBorders>
            <w:tcMar>
              <w:top w:w="100" w:type="dxa"/>
              <w:left w:w="0" w:type="dxa"/>
              <w:bottom w:w="100" w:type="dxa"/>
              <w:right w:w="100" w:type="dxa"/>
            </w:tcMar>
          </w:tcPr>
          <w:p w14:paraId="69D8E57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NLD (2016–2021) to SAC (2021–2024)</w:t>
            </w:r>
          </w:p>
        </w:tc>
        <w:tc>
          <w:tcPr>
            <w:tcW w:w="1165" w:type="dxa"/>
            <w:tcBorders>
              <w:top w:val="nil"/>
              <w:left w:val="nil"/>
              <w:bottom w:val="single" w:sz="4" w:space="0" w:color="404040"/>
              <w:right w:val="nil"/>
            </w:tcBorders>
            <w:tcMar>
              <w:top w:w="100" w:type="dxa"/>
              <w:left w:w="100" w:type="dxa"/>
              <w:bottom w:w="100" w:type="dxa"/>
              <w:right w:w="100" w:type="dxa"/>
            </w:tcMar>
          </w:tcPr>
          <w:p w14:paraId="40E7580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15.40</w:t>
            </w:r>
          </w:p>
        </w:tc>
        <w:tc>
          <w:tcPr>
            <w:tcW w:w="965" w:type="dxa"/>
            <w:tcBorders>
              <w:top w:val="nil"/>
              <w:left w:val="nil"/>
              <w:bottom w:val="single" w:sz="4" w:space="0" w:color="404040"/>
              <w:right w:val="nil"/>
            </w:tcBorders>
            <w:tcMar>
              <w:top w:w="100" w:type="dxa"/>
              <w:left w:w="100" w:type="dxa"/>
              <w:bottom w:w="100" w:type="dxa"/>
              <w:right w:w="100" w:type="dxa"/>
            </w:tcMar>
          </w:tcPr>
          <w:p w14:paraId="0627CF1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495" w:type="dxa"/>
            <w:tcBorders>
              <w:top w:val="nil"/>
              <w:left w:val="nil"/>
              <w:bottom w:val="single" w:sz="4" w:space="0" w:color="404040"/>
              <w:right w:val="nil"/>
            </w:tcBorders>
            <w:tcMar>
              <w:top w:w="100" w:type="dxa"/>
              <w:left w:w="100" w:type="dxa"/>
              <w:bottom w:w="100" w:type="dxa"/>
              <w:right w:w="100" w:type="dxa"/>
            </w:tcMar>
          </w:tcPr>
          <w:p w14:paraId="403F9B9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369" w:type="dxa"/>
            <w:tcBorders>
              <w:top w:val="nil"/>
              <w:left w:val="nil"/>
              <w:bottom w:val="single" w:sz="4" w:space="0" w:color="404040"/>
              <w:right w:val="nil"/>
            </w:tcBorders>
            <w:tcMar>
              <w:top w:w="100" w:type="dxa"/>
              <w:left w:w="100" w:type="dxa"/>
              <w:bottom w:w="100" w:type="dxa"/>
              <w:right w:w="100" w:type="dxa"/>
            </w:tcMar>
          </w:tcPr>
          <w:p w14:paraId="633FBBBA" w14:textId="77777777" w:rsidR="00D2567F" w:rsidRDefault="003D3F15">
            <w:pPr>
              <w:spacing w:line="360" w:lineRule="auto"/>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Structural break detected.</w:t>
            </w:r>
          </w:p>
        </w:tc>
      </w:tr>
    </w:tbl>
    <w:p w14:paraId="0564FF94"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The Chow Test for Structural Breaks examines whether significant </w:t>
      </w:r>
      <w:r>
        <w:rPr>
          <w:rFonts w:ascii="Times New Roman" w:eastAsia="Times New Roman" w:hAnsi="Times New Roman" w:cs="Times New Roman"/>
          <w:color w:val="404040"/>
          <w:sz w:val="24"/>
          <w:szCs w:val="24"/>
        </w:rPr>
        <w:t>changes occurred in economic relationships during government transitions. It analyzes the SPDC (2000–2011), USDP (2011–2016), NLD (2016–2021), and SAC (2021–2024) periods.</w:t>
      </w:r>
    </w:p>
    <w:p w14:paraId="0EAD7183"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Results show a structural break from SPDC to USDP (F-statistic = 3.20, p = 0.045), i</w:t>
      </w:r>
      <w:r>
        <w:rPr>
          <w:rFonts w:ascii="Times New Roman" w:eastAsia="Times New Roman" w:hAnsi="Times New Roman" w:cs="Times New Roman"/>
          <w:color w:val="404040"/>
          <w:sz w:val="24"/>
          <w:szCs w:val="24"/>
        </w:rPr>
        <w:t>ndicating a notable shift in economic patterns. The transition from USDP to NLD had a more pronounced break (F-statistic = 5.80, p = 0.010), confirming a significant change. The largest break occurred between NLD and SAC (F-statistic = 15.40, p &lt; 0.001), r</w:t>
      </w:r>
      <w:r>
        <w:rPr>
          <w:rFonts w:ascii="Times New Roman" w:eastAsia="Times New Roman" w:hAnsi="Times New Roman" w:cs="Times New Roman"/>
          <w:color w:val="404040"/>
          <w:sz w:val="24"/>
          <w:szCs w:val="24"/>
        </w:rPr>
        <w:t>eflecting a major shift in economic conditions under the SAC government. These results highlight distinct economic shifts with the most dramatic change during the SAC transition.</w:t>
      </w:r>
    </w:p>
    <w:p w14:paraId="2EE87087" w14:textId="77777777" w:rsidR="00D2567F" w:rsidRDefault="00D2567F">
      <w:pPr>
        <w:spacing w:line="360" w:lineRule="auto"/>
        <w:jc w:val="both"/>
        <w:rPr>
          <w:rFonts w:ascii="Times New Roman" w:eastAsia="Times New Roman" w:hAnsi="Times New Roman" w:cs="Times New Roman"/>
          <w:color w:val="404040"/>
          <w:sz w:val="24"/>
          <w:szCs w:val="24"/>
        </w:rPr>
      </w:pPr>
    </w:p>
    <w:p w14:paraId="4194D5F6" w14:textId="77777777" w:rsidR="00D2567F" w:rsidRDefault="003D3F15">
      <w:pPr>
        <w:pStyle w:val="Heading3"/>
        <w:keepNext w:val="0"/>
        <w:keepLines w:val="0"/>
        <w:spacing w:before="0" w:after="0" w:line="360" w:lineRule="auto"/>
        <w:jc w:val="both"/>
        <w:rPr>
          <w:rFonts w:ascii="Times New Roman" w:eastAsia="Times New Roman" w:hAnsi="Times New Roman" w:cs="Times New Roman"/>
          <w:b/>
          <w:color w:val="404040"/>
          <w:sz w:val="24"/>
          <w:szCs w:val="24"/>
        </w:rPr>
      </w:pPr>
      <w:bookmarkStart w:id="10" w:name="_heading=h.17dp8vu" w:colFirst="0" w:colLast="0"/>
      <w:bookmarkEnd w:id="10"/>
      <w:r>
        <w:rPr>
          <w:rFonts w:ascii="Times New Roman" w:eastAsia="Times New Roman" w:hAnsi="Times New Roman" w:cs="Times New Roman"/>
          <w:b/>
          <w:color w:val="404040"/>
          <w:sz w:val="24"/>
          <w:szCs w:val="24"/>
        </w:rPr>
        <w:t>3.5. T-test Results (Independent Samples)</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2968"/>
        <w:gridCol w:w="1124"/>
        <w:gridCol w:w="952"/>
        <w:gridCol w:w="1497"/>
        <w:gridCol w:w="2819"/>
      </w:tblGrid>
      <w:tr w:rsidR="00D2567F" w14:paraId="045C473A" w14:textId="77777777">
        <w:trPr>
          <w:trHeight w:val="845"/>
        </w:trPr>
        <w:tc>
          <w:tcPr>
            <w:tcW w:w="2966" w:type="dxa"/>
            <w:tcBorders>
              <w:top w:val="single" w:sz="4" w:space="0" w:color="404040"/>
              <w:left w:val="nil"/>
              <w:bottom w:val="single" w:sz="4" w:space="0" w:color="404040"/>
              <w:right w:val="nil"/>
            </w:tcBorders>
            <w:tcMar>
              <w:top w:w="100" w:type="dxa"/>
              <w:left w:w="0" w:type="dxa"/>
              <w:bottom w:w="100" w:type="dxa"/>
              <w:right w:w="100" w:type="dxa"/>
            </w:tcMar>
          </w:tcPr>
          <w:p w14:paraId="05E1167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Government Pair</w:t>
            </w:r>
          </w:p>
        </w:tc>
        <w:tc>
          <w:tcPr>
            <w:tcW w:w="1124" w:type="dxa"/>
            <w:tcBorders>
              <w:top w:val="single" w:sz="4" w:space="0" w:color="404040"/>
              <w:left w:val="nil"/>
              <w:bottom w:val="single" w:sz="4" w:space="0" w:color="404040"/>
              <w:right w:val="nil"/>
            </w:tcBorders>
            <w:tcMar>
              <w:top w:w="100" w:type="dxa"/>
              <w:left w:w="100" w:type="dxa"/>
              <w:bottom w:w="100" w:type="dxa"/>
              <w:right w:w="100" w:type="dxa"/>
            </w:tcMar>
          </w:tcPr>
          <w:p w14:paraId="27285DE7"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t-statistic</w:t>
            </w:r>
          </w:p>
        </w:tc>
        <w:tc>
          <w:tcPr>
            <w:tcW w:w="952" w:type="dxa"/>
            <w:tcBorders>
              <w:top w:val="single" w:sz="4" w:space="0" w:color="404040"/>
              <w:left w:val="nil"/>
              <w:bottom w:val="single" w:sz="4" w:space="0" w:color="404040"/>
              <w:right w:val="nil"/>
            </w:tcBorders>
            <w:tcMar>
              <w:top w:w="100" w:type="dxa"/>
              <w:left w:w="100" w:type="dxa"/>
              <w:bottom w:w="100" w:type="dxa"/>
              <w:right w:w="100" w:type="dxa"/>
            </w:tcMar>
          </w:tcPr>
          <w:p w14:paraId="52A72C00"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p-valu</w:t>
            </w:r>
            <w:r>
              <w:rPr>
                <w:rFonts w:ascii="Times New Roman" w:eastAsia="Times New Roman" w:hAnsi="Times New Roman" w:cs="Times New Roman"/>
                <w:color w:val="404040"/>
                <w:sz w:val="24"/>
                <w:szCs w:val="24"/>
              </w:rPr>
              <w:t>e</w:t>
            </w:r>
          </w:p>
        </w:tc>
        <w:tc>
          <w:tcPr>
            <w:tcW w:w="1497" w:type="dxa"/>
            <w:tcBorders>
              <w:top w:val="single" w:sz="4" w:space="0" w:color="404040"/>
              <w:left w:val="nil"/>
              <w:bottom w:val="single" w:sz="4" w:space="0" w:color="404040"/>
              <w:right w:val="nil"/>
            </w:tcBorders>
            <w:tcMar>
              <w:top w:w="100" w:type="dxa"/>
              <w:left w:w="100" w:type="dxa"/>
              <w:bottom w:w="100" w:type="dxa"/>
              <w:right w:w="100" w:type="dxa"/>
            </w:tcMar>
          </w:tcPr>
          <w:p w14:paraId="724FE7F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Significance</w:t>
            </w:r>
          </w:p>
        </w:tc>
        <w:tc>
          <w:tcPr>
            <w:tcW w:w="2818" w:type="dxa"/>
            <w:tcBorders>
              <w:top w:val="single" w:sz="4" w:space="0" w:color="404040"/>
              <w:left w:val="nil"/>
              <w:bottom w:val="single" w:sz="4" w:space="0" w:color="404040"/>
              <w:right w:val="nil"/>
            </w:tcBorders>
            <w:tcMar>
              <w:top w:w="100" w:type="dxa"/>
              <w:left w:w="100" w:type="dxa"/>
              <w:bottom w:w="100" w:type="dxa"/>
              <w:right w:w="100" w:type="dxa"/>
            </w:tcMar>
          </w:tcPr>
          <w:p w14:paraId="7E830B7A"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Conclusion</w:t>
            </w:r>
          </w:p>
        </w:tc>
      </w:tr>
      <w:tr w:rsidR="00D2567F" w14:paraId="5FA426B2" w14:textId="77777777">
        <w:trPr>
          <w:trHeight w:val="875"/>
        </w:trPr>
        <w:tc>
          <w:tcPr>
            <w:tcW w:w="2966" w:type="dxa"/>
            <w:tcBorders>
              <w:top w:val="single" w:sz="4" w:space="0" w:color="404040"/>
              <w:left w:val="nil"/>
              <w:bottom w:val="nil"/>
              <w:right w:val="nil"/>
            </w:tcBorders>
            <w:tcMar>
              <w:top w:w="100" w:type="dxa"/>
              <w:left w:w="0" w:type="dxa"/>
              <w:bottom w:w="100" w:type="dxa"/>
              <w:right w:w="100" w:type="dxa"/>
            </w:tcMar>
          </w:tcPr>
          <w:p w14:paraId="632531F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SPDC (2000–2011) vs. NLD (2016–2021)</w:t>
            </w:r>
          </w:p>
        </w:tc>
        <w:tc>
          <w:tcPr>
            <w:tcW w:w="1124" w:type="dxa"/>
            <w:tcBorders>
              <w:top w:val="single" w:sz="4" w:space="0" w:color="404040"/>
              <w:left w:val="nil"/>
              <w:bottom w:val="nil"/>
              <w:right w:val="nil"/>
            </w:tcBorders>
            <w:tcMar>
              <w:top w:w="100" w:type="dxa"/>
              <w:left w:w="100" w:type="dxa"/>
              <w:bottom w:w="100" w:type="dxa"/>
              <w:right w:w="100" w:type="dxa"/>
            </w:tcMar>
          </w:tcPr>
          <w:p w14:paraId="24F9DB6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8.00</w:t>
            </w:r>
          </w:p>
        </w:tc>
        <w:tc>
          <w:tcPr>
            <w:tcW w:w="952" w:type="dxa"/>
            <w:tcBorders>
              <w:top w:val="single" w:sz="4" w:space="0" w:color="404040"/>
              <w:left w:val="nil"/>
              <w:bottom w:val="nil"/>
              <w:right w:val="nil"/>
            </w:tcBorders>
            <w:tcMar>
              <w:top w:w="100" w:type="dxa"/>
              <w:left w:w="100" w:type="dxa"/>
              <w:bottom w:w="100" w:type="dxa"/>
              <w:right w:w="100" w:type="dxa"/>
            </w:tcMar>
          </w:tcPr>
          <w:p w14:paraId="20627A4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497" w:type="dxa"/>
            <w:tcBorders>
              <w:top w:val="single" w:sz="4" w:space="0" w:color="404040"/>
              <w:left w:val="nil"/>
              <w:bottom w:val="nil"/>
              <w:right w:val="nil"/>
            </w:tcBorders>
            <w:tcMar>
              <w:top w:w="100" w:type="dxa"/>
              <w:left w:w="100" w:type="dxa"/>
              <w:bottom w:w="100" w:type="dxa"/>
              <w:right w:w="100" w:type="dxa"/>
            </w:tcMar>
          </w:tcPr>
          <w:p w14:paraId="7CFA8FD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818" w:type="dxa"/>
            <w:tcBorders>
              <w:top w:val="single" w:sz="4" w:space="0" w:color="404040"/>
              <w:left w:val="nil"/>
              <w:bottom w:val="nil"/>
              <w:right w:val="nil"/>
            </w:tcBorders>
            <w:tcMar>
              <w:top w:w="100" w:type="dxa"/>
              <w:left w:w="100" w:type="dxa"/>
              <w:bottom w:w="100" w:type="dxa"/>
              <w:right w:w="100" w:type="dxa"/>
            </w:tcMar>
          </w:tcPr>
          <w:p w14:paraId="336C5FCE"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318840E5" w14:textId="77777777">
        <w:trPr>
          <w:trHeight w:val="875"/>
        </w:trPr>
        <w:tc>
          <w:tcPr>
            <w:tcW w:w="2966" w:type="dxa"/>
            <w:tcBorders>
              <w:top w:val="nil"/>
              <w:left w:val="nil"/>
              <w:bottom w:val="nil"/>
              <w:right w:val="nil"/>
            </w:tcBorders>
            <w:tcMar>
              <w:top w:w="100" w:type="dxa"/>
              <w:left w:w="0" w:type="dxa"/>
              <w:bottom w:w="100" w:type="dxa"/>
              <w:right w:w="100" w:type="dxa"/>
            </w:tcMar>
          </w:tcPr>
          <w:p w14:paraId="376D51BB"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SPDC (2000–2011) vs. SAC (2021–2024)</w:t>
            </w:r>
          </w:p>
        </w:tc>
        <w:tc>
          <w:tcPr>
            <w:tcW w:w="1124" w:type="dxa"/>
            <w:tcBorders>
              <w:top w:val="nil"/>
              <w:left w:val="nil"/>
              <w:bottom w:val="nil"/>
              <w:right w:val="nil"/>
            </w:tcBorders>
            <w:tcMar>
              <w:top w:w="100" w:type="dxa"/>
              <w:left w:w="100" w:type="dxa"/>
              <w:bottom w:w="100" w:type="dxa"/>
              <w:right w:w="100" w:type="dxa"/>
            </w:tcMar>
          </w:tcPr>
          <w:p w14:paraId="77E54F5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-21.00</w:t>
            </w:r>
          </w:p>
        </w:tc>
        <w:tc>
          <w:tcPr>
            <w:tcW w:w="952" w:type="dxa"/>
            <w:tcBorders>
              <w:top w:val="nil"/>
              <w:left w:val="nil"/>
              <w:bottom w:val="nil"/>
              <w:right w:val="nil"/>
            </w:tcBorders>
            <w:tcMar>
              <w:top w:w="100" w:type="dxa"/>
              <w:left w:w="100" w:type="dxa"/>
              <w:bottom w:w="100" w:type="dxa"/>
              <w:right w:w="100" w:type="dxa"/>
            </w:tcMar>
          </w:tcPr>
          <w:p w14:paraId="3320D535"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497" w:type="dxa"/>
            <w:tcBorders>
              <w:top w:val="nil"/>
              <w:left w:val="nil"/>
              <w:bottom w:val="nil"/>
              <w:right w:val="nil"/>
            </w:tcBorders>
            <w:tcMar>
              <w:top w:w="100" w:type="dxa"/>
              <w:left w:w="100" w:type="dxa"/>
              <w:bottom w:w="100" w:type="dxa"/>
              <w:right w:w="100" w:type="dxa"/>
            </w:tcMar>
          </w:tcPr>
          <w:p w14:paraId="0DA0129F"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818" w:type="dxa"/>
            <w:tcBorders>
              <w:top w:val="nil"/>
              <w:left w:val="nil"/>
              <w:bottom w:val="nil"/>
              <w:right w:val="nil"/>
            </w:tcBorders>
            <w:tcMar>
              <w:top w:w="100" w:type="dxa"/>
              <w:left w:w="100" w:type="dxa"/>
              <w:bottom w:w="100" w:type="dxa"/>
              <w:right w:w="100" w:type="dxa"/>
            </w:tcMar>
          </w:tcPr>
          <w:p w14:paraId="50F7125C"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05F18C43" w14:textId="77777777">
        <w:trPr>
          <w:trHeight w:val="875"/>
        </w:trPr>
        <w:tc>
          <w:tcPr>
            <w:tcW w:w="2966" w:type="dxa"/>
            <w:tcBorders>
              <w:top w:val="nil"/>
              <w:left w:val="nil"/>
              <w:bottom w:val="nil"/>
              <w:right w:val="nil"/>
            </w:tcBorders>
            <w:tcMar>
              <w:top w:w="100" w:type="dxa"/>
              <w:left w:w="0" w:type="dxa"/>
              <w:bottom w:w="100" w:type="dxa"/>
              <w:right w:w="100" w:type="dxa"/>
            </w:tcMar>
          </w:tcPr>
          <w:p w14:paraId="532E5321"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USDP (2011–2016) vs. NLD </w:t>
            </w:r>
            <w:r>
              <w:rPr>
                <w:rFonts w:ascii="Times New Roman" w:eastAsia="Times New Roman" w:hAnsi="Times New Roman" w:cs="Times New Roman"/>
                <w:color w:val="404040"/>
                <w:sz w:val="24"/>
                <w:szCs w:val="24"/>
              </w:rPr>
              <w:t>(2016–2021)</w:t>
            </w:r>
          </w:p>
        </w:tc>
        <w:tc>
          <w:tcPr>
            <w:tcW w:w="1124" w:type="dxa"/>
            <w:tcBorders>
              <w:top w:val="nil"/>
              <w:left w:val="nil"/>
              <w:bottom w:val="nil"/>
              <w:right w:val="nil"/>
            </w:tcBorders>
            <w:tcMar>
              <w:top w:w="100" w:type="dxa"/>
              <w:left w:w="100" w:type="dxa"/>
              <w:bottom w:w="100" w:type="dxa"/>
              <w:right w:w="100" w:type="dxa"/>
            </w:tcMar>
          </w:tcPr>
          <w:p w14:paraId="3337ECD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7.50</w:t>
            </w:r>
          </w:p>
        </w:tc>
        <w:tc>
          <w:tcPr>
            <w:tcW w:w="952" w:type="dxa"/>
            <w:tcBorders>
              <w:top w:val="nil"/>
              <w:left w:val="nil"/>
              <w:bottom w:val="nil"/>
              <w:right w:val="nil"/>
            </w:tcBorders>
            <w:tcMar>
              <w:top w:w="100" w:type="dxa"/>
              <w:left w:w="100" w:type="dxa"/>
              <w:bottom w:w="100" w:type="dxa"/>
              <w:right w:w="100" w:type="dxa"/>
            </w:tcMar>
          </w:tcPr>
          <w:p w14:paraId="03858B0A"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497" w:type="dxa"/>
            <w:tcBorders>
              <w:top w:val="nil"/>
              <w:left w:val="nil"/>
              <w:bottom w:val="nil"/>
              <w:right w:val="nil"/>
            </w:tcBorders>
            <w:tcMar>
              <w:top w:w="100" w:type="dxa"/>
              <w:left w:w="100" w:type="dxa"/>
              <w:bottom w:w="100" w:type="dxa"/>
              <w:right w:w="100" w:type="dxa"/>
            </w:tcMar>
          </w:tcPr>
          <w:p w14:paraId="3533A21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818" w:type="dxa"/>
            <w:tcBorders>
              <w:top w:val="nil"/>
              <w:left w:val="nil"/>
              <w:bottom w:val="nil"/>
              <w:right w:val="nil"/>
            </w:tcBorders>
            <w:tcMar>
              <w:top w:w="100" w:type="dxa"/>
              <w:left w:w="100" w:type="dxa"/>
              <w:bottom w:w="100" w:type="dxa"/>
              <w:right w:w="100" w:type="dxa"/>
            </w:tcMar>
          </w:tcPr>
          <w:p w14:paraId="18DD8986"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r w:rsidR="00D2567F" w14:paraId="73E94F4C" w14:textId="77777777">
        <w:trPr>
          <w:trHeight w:val="875"/>
        </w:trPr>
        <w:tc>
          <w:tcPr>
            <w:tcW w:w="2966" w:type="dxa"/>
            <w:tcBorders>
              <w:top w:val="nil"/>
              <w:left w:val="nil"/>
              <w:bottom w:val="single" w:sz="8" w:space="0" w:color="404040"/>
              <w:right w:val="nil"/>
            </w:tcBorders>
            <w:tcMar>
              <w:top w:w="100" w:type="dxa"/>
              <w:left w:w="0" w:type="dxa"/>
              <w:bottom w:w="100" w:type="dxa"/>
              <w:right w:w="100" w:type="dxa"/>
            </w:tcMar>
          </w:tcPr>
          <w:p w14:paraId="1E9E8AC2"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USDP (2011–2016) vs. SAC (2021–2024)</w:t>
            </w:r>
          </w:p>
        </w:tc>
        <w:tc>
          <w:tcPr>
            <w:tcW w:w="1124" w:type="dxa"/>
            <w:tcBorders>
              <w:top w:val="nil"/>
              <w:left w:val="nil"/>
              <w:bottom w:val="single" w:sz="4" w:space="0" w:color="404040"/>
              <w:right w:val="nil"/>
            </w:tcBorders>
            <w:tcMar>
              <w:top w:w="100" w:type="dxa"/>
              <w:left w:w="100" w:type="dxa"/>
              <w:bottom w:w="100" w:type="dxa"/>
              <w:right w:w="100" w:type="dxa"/>
            </w:tcMar>
          </w:tcPr>
          <w:p w14:paraId="433DF29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-20.50</w:t>
            </w:r>
          </w:p>
        </w:tc>
        <w:tc>
          <w:tcPr>
            <w:tcW w:w="952" w:type="dxa"/>
            <w:tcBorders>
              <w:top w:val="nil"/>
              <w:left w:val="nil"/>
              <w:bottom w:val="single" w:sz="4" w:space="0" w:color="404040"/>
              <w:right w:val="nil"/>
            </w:tcBorders>
            <w:tcMar>
              <w:top w:w="100" w:type="dxa"/>
              <w:left w:w="100" w:type="dxa"/>
              <w:bottom w:w="100" w:type="dxa"/>
              <w:right w:w="100" w:type="dxa"/>
            </w:tcMar>
          </w:tcPr>
          <w:p w14:paraId="3A907AF3"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&lt;0.001</w:t>
            </w:r>
          </w:p>
        </w:tc>
        <w:tc>
          <w:tcPr>
            <w:tcW w:w="1497" w:type="dxa"/>
            <w:tcBorders>
              <w:top w:val="nil"/>
              <w:left w:val="nil"/>
              <w:bottom w:val="single" w:sz="4" w:space="0" w:color="404040"/>
              <w:right w:val="nil"/>
            </w:tcBorders>
            <w:tcMar>
              <w:top w:w="100" w:type="dxa"/>
              <w:left w:w="100" w:type="dxa"/>
              <w:bottom w:w="100" w:type="dxa"/>
              <w:right w:w="100" w:type="dxa"/>
            </w:tcMar>
          </w:tcPr>
          <w:p w14:paraId="53C98BED"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w:t>
            </w:r>
          </w:p>
        </w:tc>
        <w:tc>
          <w:tcPr>
            <w:tcW w:w="2818" w:type="dxa"/>
            <w:tcBorders>
              <w:top w:val="nil"/>
              <w:left w:val="nil"/>
              <w:bottom w:val="single" w:sz="4" w:space="0" w:color="404040"/>
              <w:right w:val="nil"/>
            </w:tcBorders>
            <w:tcMar>
              <w:top w:w="100" w:type="dxa"/>
              <w:left w:w="100" w:type="dxa"/>
              <w:bottom w:w="100" w:type="dxa"/>
              <w:right w:w="100" w:type="dxa"/>
            </w:tcMar>
          </w:tcPr>
          <w:p w14:paraId="7609E028" w14:textId="77777777" w:rsidR="00D2567F" w:rsidRDefault="003D3F15">
            <w:pPr>
              <w:spacing w:line="36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Significant difference in GDP growth.</w:t>
            </w:r>
          </w:p>
        </w:tc>
      </w:tr>
    </w:tbl>
    <w:p w14:paraId="5893FEAF"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The comparison of GDP growth across different government periods reveals </w:t>
      </w:r>
      <w:r>
        <w:rPr>
          <w:rFonts w:ascii="Times New Roman" w:eastAsia="Times New Roman" w:hAnsi="Times New Roman" w:cs="Times New Roman"/>
          <w:color w:val="404040"/>
          <w:sz w:val="24"/>
          <w:szCs w:val="24"/>
        </w:rPr>
        <w:t>significant differences in economic performance. T-tests between various government pairs confirm notable changes over time.</w:t>
      </w:r>
    </w:p>
    <w:p w14:paraId="409E64F4"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SPDC (2000–2011) vs. NLD (2016–2021) comparison shows a t-statistic of 8.00 (p &lt; 0.001), indicating a significant difference in</w:t>
      </w:r>
      <w:r>
        <w:rPr>
          <w:rFonts w:ascii="Times New Roman" w:eastAsia="Times New Roman" w:hAnsi="Times New Roman" w:cs="Times New Roman"/>
          <w:color w:val="404040"/>
          <w:sz w:val="24"/>
          <w:szCs w:val="24"/>
        </w:rPr>
        <w:t xml:space="preserve"> GDP growth, with the NLD administration performing much better. Similarly, the SPDC vs. SAC (2021–2024) comparison shows a t-statistic of -21.00 (p &lt; 0.001), highlighting a significant decline in GDP growth under the SAC government.</w:t>
      </w:r>
    </w:p>
    <w:p w14:paraId="1793B544" w14:textId="77777777" w:rsidR="00D2567F" w:rsidRDefault="003D3F15">
      <w:pPr>
        <w:spacing w:before="240" w:after="240" w:line="360" w:lineRule="auto"/>
        <w:ind w:firstLine="72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The comparison of USDP</w:t>
      </w:r>
      <w:r>
        <w:rPr>
          <w:rFonts w:ascii="Times New Roman" w:eastAsia="Times New Roman" w:hAnsi="Times New Roman" w:cs="Times New Roman"/>
          <w:color w:val="404040"/>
          <w:sz w:val="24"/>
          <w:szCs w:val="24"/>
        </w:rPr>
        <w:t xml:space="preserve"> (2011–2016) vs. NLD shows a t-statistic of 7.50 (p &lt; 0.001), suggesting substantial improvement in GDP growth under the NLD. The USDP vs. SAC comparison reveals a t-statistic of -20.50 (p &lt; 0.001), confirming a sharp decline in GDP growth during the SAC p</w:t>
      </w:r>
      <w:r>
        <w:rPr>
          <w:rFonts w:ascii="Times New Roman" w:eastAsia="Times New Roman" w:hAnsi="Times New Roman" w:cs="Times New Roman"/>
          <w:color w:val="404040"/>
          <w:sz w:val="24"/>
          <w:szCs w:val="24"/>
        </w:rPr>
        <w:t>eriod. Overall, GDP growth varied significantly between government periods, with the SAC government showing the most drastic negative shift.</w:t>
      </w:r>
    </w:p>
    <w:p w14:paraId="189DB644"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Discussion</w:t>
      </w:r>
    </w:p>
    <w:p w14:paraId="756609E5"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Myanmar's economic growth from 2000 to 2024 provides valuable insights into the impa</w:t>
      </w:r>
      <w:r>
        <w:rPr>
          <w:rFonts w:ascii="Times New Roman" w:eastAsia="Times New Roman" w:hAnsi="Times New Roman" w:cs="Times New Roman"/>
          <w:sz w:val="24"/>
          <w:szCs w:val="24"/>
        </w:rPr>
        <w:t>ct of Foreign Direct Investment (FDI) under varying political regimes. The findings underscore that political stability, human capital development, inflation control, and prudent government expenditure are crucial for maximizing the benefits of FDI.</w:t>
      </w:r>
    </w:p>
    <w:p w14:paraId="6696830F"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w:t>
      </w:r>
      <w:r>
        <w:rPr>
          <w:rFonts w:ascii="Times New Roman" w:eastAsia="Times New Roman" w:hAnsi="Times New Roman" w:cs="Times New Roman"/>
          <w:sz w:val="24"/>
          <w:szCs w:val="24"/>
        </w:rPr>
        <w:t xml:space="preserve"> the Union Solidarity and Development Party (USDP) administration (2011–2016), Myanmar implemented significant economic reforms that led to increased FDI inflows. In the fiscal year 2015–2016, FDI inflows reached approximately $4.29 billion, accounting for</w:t>
      </w:r>
      <w:r>
        <w:rPr>
          <w:rFonts w:ascii="Times New Roman" w:eastAsia="Times New Roman" w:hAnsi="Times New Roman" w:cs="Times New Roman"/>
          <w:sz w:val="24"/>
          <w:szCs w:val="24"/>
        </w:rPr>
        <w:t xml:space="preserve"> 6.85% of the country's GDP (Macrotrends, 2023). This period of political stability and pro-investment policies created a favorable environment for foreign investors, aligning with studies that highlight the positive correlation between political stability</w:t>
      </w:r>
      <w:r>
        <w:rPr>
          <w:rFonts w:ascii="Times New Roman" w:eastAsia="Times New Roman" w:hAnsi="Times New Roman" w:cs="Times New Roman"/>
          <w:sz w:val="24"/>
          <w:szCs w:val="24"/>
        </w:rPr>
        <w:t xml:space="preserve"> and FDI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Hefeker</w:t>
      </w:r>
      <w:proofErr w:type="spellEnd"/>
      <w:r>
        <w:rPr>
          <w:rFonts w:ascii="Times New Roman" w:eastAsia="Times New Roman" w:hAnsi="Times New Roman" w:cs="Times New Roman"/>
          <w:sz w:val="24"/>
          <w:szCs w:val="24"/>
        </w:rPr>
        <w:t>, 2007).</w:t>
      </w:r>
    </w:p>
    <w:p w14:paraId="372ED3CE"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the period following the military coup in February 2021 saw a significant decline in FDI. Between April and October 2022, Myanmar received over $1.45 billion in foreign investment, with Singapore being the lar</w:t>
      </w:r>
      <w:r>
        <w:rPr>
          <w:rFonts w:ascii="Times New Roman" w:eastAsia="Times New Roman" w:hAnsi="Times New Roman" w:cs="Times New Roman"/>
          <w:sz w:val="24"/>
          <w:szCs w:val="24"/>
        </w:rPr>
        <w:t>gest contributor (Global New Light of Myanmar, 2023). However, this figure represents a substantial decrease compared to previous years, reflecting the adverse impact of political instability on foreign investment. The International Crisis Group (2021) emp</w:t>
      </w:r>
      <w:r>
        <w:rPr>
          <w:rFonts w:ascii="Times New Roman" w:eastAsia="Times New Roman" w:hAnsi="Times New Roman" w:cs="Times New Roman"/>
          <w:sz w:val="24"/>
          <w:szCs w:val="24"/>
        </w:rPr>
        <w:t>hasizes that political unrest deters foreign investors, leading to economic stagnation and reduced growth rates.</w:t>
      </w:r>
    </w:p>
    <w:p w14:paraId="1A805B42"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also highlights the importance of human capital in leveraging FDI for economic growth. Periods with higher Human Capital Index (HC</w:t>
      </w:r>
      <w:r>
        <w:rPr>
          <w:rFonts w:ascii="Times New Roman" w:eastAsia="Times New Roman" w:hAnsi="Times New Roman" w:cs="Times New Roman"/>
          <w:sz w:val="24"/>
          <w:szCs w:val="24"/>
        </w:rPr>
        <w:t>I) scores corresponded with more effective utilization of FDI, fostering sustainable economic development. This observation supports the notion that the effectiveness of FDI is contingent upon the absorptive capacity of the host country, particularly its h</w:t>
      </w:r>
      <w:r>
        <w:rPr>
          <w:rFonts w:ascii="Times New Roman" w:eastAsia="Times New Roman" w:hAnsi="Times New Roman" w:cs="Times New Roman"/>
          <w:sz w:val="24"/>
          <w:szCs w:val="24"/>
        </w:rPr>
        <w:t>uman capital (</w:t>
      </w:r>
      <w:proofErr w:type="spellStart"/>
      <w:r>
        <w:rPr>
          <w:rFonts w:ascii="Times New Roman" w:eastAsia="Times New Roman" w:hAnsi="Times New Roman" w:cs="Times New Roman"/>
          <w:sz w:val="24"/>
          <w:szCs w:val="24"/>
        </w:rPr>
        <w:t>Borensztein</w:t>
      </w:r>
      <w:proofErr w:type="spellEnd"/>
      <w:r>
        <w:rPr>
          <w:rFonts w:ascii="Times New Roman" w:eastAsia="Times New Roman" w:hAnsi="Times New Roman" w:cs="Times New Roman"/>
          <w:sz w:val="24"/>
          <w:szCs w:val="24"/>
        </w:rPr>
        <w:t>, De Gregorio, &amp; Lee, 1998).</w:t>
      </w:r>
    </w:p>
    <w:p w14:paraId="4939A926"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Inflation control emerged as another critical factor. Periods characterized by moderate inflation rates facilitated a stable economic environment, encouraging foreign investment. A stable macroeconomic </w:t>
      </w:r>
      <w:r>
        <w:rPr>
          <w:rFonts w:ascii="Times New Roman" w:eastAsia="Times New Roman" w:hAnsi="Times New Roman" w:cs="Times New Roman"/>
          <w:sz w:val="24"/>
          <w:szCs w:val="24"/>
        </w:rPr>
        <w:t>environment is essential for attracting FDI and fostering growth (Fischer, 1993).</w:t>
      </w:r>
    </w:p>
    <w:p w14:paraId="441AFD28"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expenditure, when maintained at sustainable levels, positively influenced economic growth by providing necessary infrastructure and public services without crowdin</w:t>
      </w:r>
      <w:r>
        <w:rPr>
          <w:rFonts w:ascii="Times New Roman" w:eastAsia="Times New Roman" w:hAnsi="Times New Roman" w:cs="Times New Roman"/>
          <w:sz w:val="24"/>
          <w:szCs w:val="24"/>
        </w:rPr>
        <w:t>g out private investment. Productive government spending can enhance economic performance (Barro, 1990).</w:t>
      </w:r>
    </w:p>
    <w:p w14:paraId="5A6EC604"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study acknowledges certain limitations. The analysis primarily relies on available macroeconomic indicators, which may not capture the ful</w:t>
      </w:r>
      <w:r>
        <w:rPr>
          <w:rFonts w:ascii="Times New Roman" w:eastAsia="Times New Roman" w:hAnsi="Times New Roman" w:cs="Times New Roman"/>
          <w:sz w:val="24"/>
          <w:szCs w:val="24"/>
        </w:rPr>
        <w:t xml:space="preserve">l complexity of Myanmar's socio-political dynamics. Additionally, external factors such as global economic conditions and </w:t>
      </w:r>
      <w:r>
        <w:rPr>
          <w:rFonts w:ascii="Times New Roman" w:eastAsia="Times New Roman" w:hAnsi="Times New Roman" w:cs="Times New Roman"/>
          <w:sz w:val="24"/>
          <w:szCs w:val="24"/>
        </w:rPr>
        <w:lastRenderedPageBreak/>
        <w:t>regional trade agreements were not extensively examined, yet they could influence FDI and economic growth.</w:t>
      </w:r>
    </w:p>
    <w:p w14:paraId="66AF632A"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Future research should </w:t>
      </w:r>
      <w:r>
        <w:rPr>
          <w:rFonts w:ascii="Times New Roman" w:eastAsia="Times New Roman" w:hAnsi="Times New Roman" w:cs="Times New Roman"/>
          <w:sz w:val="24"/>
          <w:szCs w:val="24"/>
        </w:rPr>
        <w:t>explore the sectoral distribution of FDI to assess which industries contribute most to economic growth in Myanmar. Investigating the role of small and medium enterprises (SMEs) in absorbing FDI and their impact on employment generation could provide a more</w:t>
      </w:r>
      <w:r>
        <w:rPr>
          <w:rFonts w:ascii="Times New Roman" w:eastAsia="Times New Roman" w:hAnsi="Times New Roman" w:cs="Times New Roman"/>
          <w:sz w:val="24"/>
          <w:szCs w:val="24"/>
        </w:rPr>
        <w:t xml:space="preserve"> nuanced understanding of FDI's benefits. Moreover, comparative studies with other Southeast Asian nations could offer valuable insights into best practices for optimizing FDI for economic development.</w:t>
      </w:r>
    </w:p>
    <w:p w14:paraId="717C28AF" w14:textId="77777777" w:rsidR="00D2567F" w:rsidRDefault="003D3F1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reinforces the notion that FDI can significa</w:t>
      </w:r>
      <w:r>
        <w:rPr>
          <w:rFonts w:ascii="Times New Roman" w:eastAsia="Times New Roman" w:hAnsi="Times New Roman" w:cs="Times New Roman"/>
          <w:sz w:val="24"/>
          <w:szCs w:val="24"/>
        </w:rPr>
        <w:t>ntly propel economic growth when accompanied by political stability, robust human capital, controlled inflation, and judicious government expenditure. Myanmar's experience from 2000 to 2024 serves as a testament to the intricate interplay between these fac</w:t>
      </w:r>
      <w:r>
        <w:rPr>
          <w:rFonts w:ascii="Times New Roman" w:eastAsia="Times New Roman" w:hAnsi="Times New Roman" w:cs="Times New Roman"/>
          <w:sz w:val="24"/>
          <w:szCs w:val="24"/>
        </w:rPr>
        <w:t>tors, offering lessons for policymakers aiming to harness FDI for sustainable economic development.</w:t>
      </w:r>
    </w:p>
    <w:p w14:paraId="4331A707" w14:textId="77777777" w:rsidR="00D2567F" w:rsidRDefault="00D2567F">
      <w:pPr>
        <w:spacing w:line="360" w:lineRule="auto"/>
        <w:jc w:val="both"/>
        <w:rPr>
          <w:rFonts w:ascii="Times New Roman" w:eastAsia="Times New Roman" w:hAnsi="Times New Roman" w:cs="Times New Roman"/>
          <w:color w:val="404040"/>
          <w:sz w:val="24"/>
          <w:szCs w:val="24"/>
        </w:rPr>
      </w:pPr>
    </w:p>
    <w:p w14:paraId="62E18F48" w14:textId="77777777" w:rsidR="00D2567F" w:rsidRDefault="003D3F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Conclusion</w:t>
      </w:r>
    </w:p>
    <w:p w14:paraId="0242B1E6"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reveals a significant positive relationship between Foreign Direct Investment (FDI) and economic growth in Myanmar from 2000 to 202</w:t>
      </w:r>
      <w:r>
        <w:rPr>
          <w:rFonts w:ascii="Times New Roman" w:eastAsia="Times New Roman" w:hAnsi="Times New Roman" w:cs="Times New Roman"/>
          <w:sz w:val="24"/>
          <w:szCs w:val="24"/>
        </w:rPr>
        <w:t>4. Regression analysis confirms that FDI inflows have driven GDP growth, supporting Neoclassical Growth Theory, which links capital accumulation to economic expansion. FDI contributes to productivity through technology transfer, skill development, and infr</w:t>
      </w:r>
      <w:r>
        <w:rPr>
          <w:rFonts w:ascii="Times New Roman" w:eastAsia="Times New Roman" w:hAnsi="Times New Roman" w:cs="Times New Roman"/>
          <w:sz w:val="24"/>
          <w:szCs w:val="24"/>
        </w:rPr>
        <w:t>astructure investment. However, its impact is moderated by factors such as human capital, political stability, inflation, and government expenditure.</w:t>
      </w:r>
    </w:p>
    <w:p w14:paraId="53AF77E1"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capital plays a crucial role in maximizing FDI benefits. Countries with higher human capital experie</w:t>
      </w:r>
      <w:r>
        <w:rPr>
          <w:rFonts w:ascii="Times New Roman" w:eastAsia="Times New Roman" w:hAnsi="Times New Roman" w:cs="Times New Roman"/>
          <w:sz w:val="24"/>
          <w:szCs w:val="24"/>
        </w:rPr>
        <w:t>nce greater economic gains from foreign investment. Despite improvements in literacy and education in Myanmar, the low Human Capital Index limits the potential of FDI, suggesting the need for further investment in education and vocational training.</w:t>
      </w:r>
    </w:p>
    <w:p w14:paraId="0D96DCD8"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w:t>
      </w:r>
      <w:r>
        <w:rPr>
          <w:rFonts w:ascii="Times New Roman" w:eastAsia="Times New Roman" w:hAnsi="Times New Roman" w:cs="Times New Roman"/>
          <w:sz w:val="24"/>
          <w:szCs w:val="24"/>
        </w:rPr>
        <w:t xml:space="preserve">al stability is vital for FDI effectiveness. The analysis shows that stable governance fosters a favorable investment climate, but Myanmar's political instability has undermined investor confidence, particularly after the 2021 government transition. These </w:t>
      </w:r>
      <w:r>
        <w:rPr>
          <w:rFonts w:ascii="Times New Roman" w:eastAsia="Times New Roman" w:hAnsi="Times New Roman" w:cs="Times New Roman"/>
          <w:sz w:val="24"/>
          <w:szCs w:val="24"/>
        </w:rPr>
        <w:t>findings align with Institutional Theory, highlighting the importance of strong institutions and stable governance.</w:t>
      </w:r>
    </w:p>
    <w:p w14:paraId="6FA2F660"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Inflation negatively impacts FDI by reducing real investment returns and increasing uncertainty. Effective inflation control is essential fo</w:t>
      </w:r>
      <w:r>
        <w:rPr>
          <w:rFonts w:ascii="Times New Roman" w:eastAsia="Times New Roman" w:hAnsi="Times New Roman" w:cs="Times New Roman"/>
          <w:sz w:val="24"/>
          <w:szCs w:val="24"/>
        </w:rPr>
        <w:t>r a stable investment climate. Myanmar must implement sound monetary policies to stabilize prices and support growth.</w:t>
      </w:r>
    </w:p>
    <w:p w14:paraId="59D2ABA6"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expenditure enhances FDI's impact by improving infrastructure, education, and healthcare. Strategic public investment can incre</w:t>
      </w:r>
      <w:r>
        <w:rPr>
          <w:rFonts w:ascii="Times New Roman" w:eastAsia="Times New Roman" w:hAnsi="Times New Roman" w:cs="Times New Roman"/>
          <w:sz w:val="24"/>
          <w:szCs w:val="24"/>
        </w:rPr>
        <w:t>ase FDI's effectiveness, although challenges like inefficiency and corruption remain.</w:t>
      </w:r>
    </w:p>
    <w:p w14:paraId="020FD301" w14:textId="77777777" w:rsidR="00D2567F" w:rsidRDefault="003D3F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FDI is a key driver of Myanmar's economic growth, but its success depends on addressing moderating factors such as human capital, political stability, infl</w:t>
      </w:r>
      <w:r>
        <w:rPr>
          <w:rFonts w:ascii="Times New Roman" w:eastAsia="Times New Roman" w:hAnsi="Times New Roman" w:cs="Times New Roman"/>
          <w:sz w:val="24"/>
          <w:szCs w:val="24"/>
        </w:rPr>
        <w:t>ation, and government policies.</w:t>
      </w:r>
    </w:p>
    <w:p w14:paraId="77D967D4" w14:textId="77777777" w:rsidR="006D2DC7" w:rsidRDefault="006D2DC7">
      <w:pPr>
        <w:spacing w:line="360" w:lineRule="auto"/>
        <w:jc w:val="both"/>
        <w:rPr>
          <w:rFonts w:ascii="Times New Roman" w:eastAsia="Times New Roman" w:hAnsi="Times New Roman" w:cs="Times New Roman"/>
          <w:b/>
          <w:sz w:val="24"/>
          <w:szCs w:val="24"/>
        </w:rPr>
      </w:pPr>
    </w:p>
    <w:p w14:paraId="10A370E5" w14:textId="204AFD05" w:rsidR="00D2567F" w:rsidRPr="006D2DC7" w:rsidRDefault="003D3F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692EC7B2" w14:textId="77777777" w:rsidR="00D2567F" w:rsidRDefault="003D3F15">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 R. J. (1990). Government spending in a simple model of endogenous growth. </w:t>
      </w:r>
      <w:r>
        <w:rPr>
          <w:rFonts w:ascii="Times New Roman" w:eastAsia="Times New Roman" w:hAnsi="Times New Roman" w:cs="Times New Roman"/>
          <w:i/>
          <w:sz w:val="24"/>
          <w:szCs w:val="24"/>
        </w:rPr>
        <w:t>Journal of Political Economy, 98</w:t>
      </w:r>
      <w:r>
        <w:rPr>
          <w:rFonts w:ascii="Times New Roman" w:eastAsia="Times New Roman" w:hAnsi="Times New Roman" w:cs="Times New Roman"/>
          <w:sz w:val="24"/>
          <w:szCs w:val="24"/>
        </w:rPr>
        <w:t>(5), S103-S125.</w:t>
      </w:r>
      <w:hyperlink r:id="rId8">
        <w:r w:rsidR="00D2567F">
          <w:rPr>
            <w:rFonts w:ascii="Times New Roman" w:eastAsia="Times New Roman" w:hAnsi="Times New Roman" w:cs="Times New Roman"/>
            <w:sz w:val="24"/>
            <w:szCs w:val="24"/>
          </w:rPr>
          <w:t xml:space="preserve"> </w:t>
        </w:r>
      </w:hyperlink>
      <w:hyperlink r:id="rId9">
        <w:r w:rsidR="00D2567F">
          <w:rPr>
            <w:rFonts w:ascii="Times New Roman" w:eastAsia="Times New Roman" w:hAnsi="Times New Roman" w:cs="Times New Roman"/>
            <w:color w:val="1155CC"/>
            <w:sz w:val="24"/>
            <w:szCs w:val="24"/>
            <w:u w:val="single"/>
          </w:rPr>
          <w:t>https://doi.org/10.1086/261726</w:t>
        </w:r>
      </w:hyperlink>
    </w:p>
    <w:p w14:paraId="42AFF4F2"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Borensztein</w:t>
      </w:r>
      <w:proofErr w:type="spellEnd"/>
      <w:r>
        <w:rPr>
          <w:rFonts w:ascii="Times New Roman" w:eastAsia="Times New Roman" w:hAnsi="Times New Roman" w:cs="Times New Roman"/>
          <w:sz w:val="24"/>
          <w:szCs w:val="24"/>
        </w:rPr>
        <w:t xml:space="preserve">, E., De Gregorio, J., &amp; Lee, J. W. (1998). How does foreign direct investment affect economic growth? </w:t>
      </w:r>
      <w:r>
        <w:rPr>
          <w:rFonts w:ascii="Times New Roman" w:eastAsia="Times New Roman" w:hAnsi="Times New Roman" w:cs="Times New Roman"/>
          <w:i/>
          <w:sz w:val="24"/>
          <w:szCs w:val="24"/>
        </w:rPr>
        <w:t>Journal of International Economics, 45</w:t>
      </w:r>
      <w:r>
        <w:rPr>
          <w:rFonts w:ascii="Times New Roman" w:eastAsia="Times New Roman" w:hAnsi="Times New Roman" w:cs="Times New Roman"/>
          <w:sz w:val="24"/>
          <w:szCs w:val="24"/>
        </w:rPr>
        <w:t>(1), 115-135. https://doi</w:t>
      </w:r>
      <w:r>
        <w:rPr>
          <w:rFonts w:ascii="Times New Roman" w:eastAsia="Times New Roman" w:hAnsi="Times New Roman" w:cs="Times New Roman"/>
          <w:sz w:val="24"/>
          <w:szCs w:val="24"/>
        </w:rPr>
        <w:t>.org/10.1016/S0022-1996(97)00033-0</w:t>
      </w:r>
    </w:p>
    <w:p w14:paraId="7354B65C"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Busse, M., &amp; </w:t>
      </w:r>
      <w:proofErr w:type="spellStart"/>
      <w:r>
        <w:rPr>
          <w:rFonts w:ascii="Times New Roman" w:eastAsia="Times New Roman" w:hAnsi="Times New Roman" w:cs="Times New Roman"/>
          <w:sz w:val="24"/>
          <w:szCs w:val="24"/>
        </w:rPr>
        <w:t>Hefeker</w:t>
      </w:r>
      <w:proofErr w:type="spellEnd"/>
      <w:r>
        <w:rPr>
          <w:rFonts w:ascii="Times New Roman" w:eastAsia="Times New Roman" w:hAnsi="Times New Roman" w:cs="Times New Roman"/>
          <w:sz w:val="24"/>
          <w:szCs w:val="24"/>
        </w:rPr>
        <w:t xml:space="preserve">, C. (2007). Political risk, institutions and foreign direct investment. </w:t>
      </w:r>
      <w:r>
        <w:rPr>
          <w:rFonts w:ascii="Times New Roman" w:eastAsia="Times New Roman" w:hAnsi="Times New Roman" w:cs="Times New Roman"/>
          <w:i/>
          <w:sz w:val="24"/>
          <w:szCs w:val="24"/>
        </w:rPr>
        <w:t>European Journal of Political Economy, 23</w:t>
      </w:r>
      <w:r>
        <w:rPr>
          <w:rFonts w:ascii="Times New Roman" w:eastAsia="Times New Roman" w:hAnsi="Times New Roman" w:cs="Times New Roman"/>
          <w:sz w:val="24"/>
          <w:szCs w:val="24"/>
        </w:rPr>
        <w:t>(2), 397-415.</w:t>
      </w:r>
      <w:hyperlink r:id="rId10">
        <w:r w:rsidR="00D2567F">
          <w:rPr>
            <w:rFonts w:ascii="Times New Roman" w:eastAsia="Times New Roman" w:hAnsi="Times New Roman" w:cs="Times New Roman"/>
            <w:sz w:val="24"/>
            <w:szCs w:val="24"/>
          </w:rPr>
          <w:t xml:space="preserve"> </w:t>
        </w:r>
      </w:hyperlink>
      <w:hyperlink r:id="rId11">
        <w:r w:rsidR="00D2567F">
          <w:rPr>
            <w:rFonts w:ascii="Times New Roman" w:eastAsia="Times New Roman" w:hAnsi="Times New Roman" w:cs="Times New Roman"/>
            <w:color w:val="1155CC"/>
            <w:sz w:val="24"/>
            <w:szCs w:val="24"/>
            <w:u w:val="single"/>
          </w:rPr>
          <w:t>https://doi.org/10.1016/j.ejpoleco.2006.02.003</w:t>
        </w:r>
      </w:hyperlink>
    </w:p>
    <w:p w14:paraId="13E4EE72"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Carkovic</w:t>
      </w:r>
      <w:proofErr w:type="spellEnd"/>
      <w:r>
        <w:rPr>
          <w:rFonts w:ascii="Times New Roman" w:eastAsia="Times New Roman" w:hAnsi="Times New Roman" w:cs="Times New Roman"/>
          <w:sz w:val="24"/>
          <w:szCs w:val="24"/>
        </w:rPr>
        <w:t>, M., &amp; Levine, R. (2002). Does foreign direct investment accelerate economic growth? University of Minnesota, Department of Finance Working P</w:t>
      </w:r>
      <w:r>
        <w:rPr>
          <w:rFonts w:ascii="Times New Roman" w:eastAsia="Times New Roman" w:hAnsi="Times New Roman" w:cs="Times New Roman"/>
          <w:sz w:val="24"/>
          <w:szCs w:val="24"/>
        </w:rPr>
        <w:t>aper.</w:t>
      </w:r>
    </w:p>
    <w:p w14:paraId="509C4B2D"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Durham, J. B. (2004). Absorptive capacity and the effects of foreign direct investment and equity foreign portfolio investment on economic growth. </w:t>
      </w:r>
      <w:r>
        <w:rPr>
          <w:rFonts w:ascii="Times New Roman" w:eastAsia="Times New Roman" w:hAnsi="Times New Roman" w:cs="Times New Roman"/>
          <w:i/>
          <w:sz w:val="24"/>
          <w:szCs w:val="24"/>
        </w:rPr>
        <w:t>European Economic Review, 48</w:t>
      </w:r>
      <w:r>
        <w:rPr>
          <w:rFonts w:ascii="Times New Roman" w:eastAsia="Times New Roman" w:hAnsi="Times New Roman" w:cs="Times New Roman"/>
          <w:sz w:val="24"/>
          <w:szCs w:val="24"/>
        </w:rPr>
        <w:t>(2), 285-306. https://doi.org/10.1016/j.euroecorev.2003.06.002</w:t>
      </w:r>
    </w:p>
    <w:p w14:paraId="16FCED4B"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Fischer, S. </w:t>
      </w:r>
      <w:r>
        <w:rPr>
          <w:rFonts w:ascii="Times New Roman" w:eastAsia="Times New Roman" w:hAnsi="Times New Roman" w:cs="Times New Roman"/>
          <w:sz w:val="24"/>
          <w:szCs w:val="24"/>
        </w:rPr>
        <w:t xml:space="preserve">(1993). The role of macroeconomic factors in growth. </w:t>
      </w:r>
      <w:r>
        <w:rPr>
          <w:rFonts w:ascii="Times New Roman" w:eastAsia="Times New Roman" w:hAnsi="Times New Roman" w:cs="Times New Roman"/>
          <w:i/>
          <w:sz w:val="24"/>
          <w:szCs w:val="24"/>
        </w:rPr>
        <w:t>Journal of Monetary Economics, 32</w:t>
      </w:r>
      <w:r>
        <w:rPr>
          <w:rFonts w:ascii="Times New Roman" w:eastAsia="Times New Roman" w:hAnsi="Times New Roman" w:cs="Times New Roman"/>
          <w:sz w:val="24"/>
          <w:szCs w:val="24"/>
        </w:rPr>
        <w:t>(3), 485-512. https://doi.org/10.1016/0304-3932(93)90027-D</w:t>
      </w:r>
    </w:p>
    <w:p w14:paraId="002817F6"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New Light of Myanmar. (2023). Myanmar secures over US$1 billion FDI in 7 months of 2022–2023FY. </w:t>
      </w:r>
      <w:r>
        <w:rPr>
          <w:rFonts w:ascii="Times New Roman" w:eastAsia="Times New Roman" w:hAnsi="Times New Roman" w:cs="Times New Roman"/>
          <w:i/>
          <w:sz w:val="24"/>
          <w:szCs w:val="24"/>
        </w:rPr>
        <w:t>Global N</w:t>
      </w:r>
      <w:r>
        <w:rPr>
          <w:rFonts w:ascii="Times New Roman" w:eastAsia="Times New Roman" w:hAnsi="Times New Roman" w:cs="Times New Roman"/>
          <w:i/>
          <w:sz w:val="24"/>
          <w:szCs w:val="24"/>
        </w:rPr>
        <w:t>ew Light of Myanmar</w:t>
      </w:r>
      <w:r>
        <w:rPr>
          <w:rFonts w:ascii="Times New Roman" w:eastAsia="Times New Roman" w:hAnsi="Times New Roman" w:cs="Times New Roman"/>
          <w:sz w:val="24"/>
          <w:szCs w:val="24"/>
        </w:rPr>
        <w:t>.</w:t>
      </w:r>
      <w:hyperlink r:id="rId12">
        <w:r w:rsidR="00D2567F">
          <w:rPr>
            <w:rFonts w:ascii="Times New Roman" w:eastAsia="Times New Roman" w:hAnsi="Times New Roman" w:cs="Times New Roman"/>
            <w:sz w:val="24"/>
            <w:szCs w:val="24"/>
          </w:rPr>
          <w:t xml:space="preserve"> </w:t>
        </w:r>
      </w:hyperlink>
      <w:hyperlink r:id="rId13">
        <w:r w:rsidR="00D2567F">
          <w:rPr>
            <w:rFonts w:ascii="Times New Roman" w:eastAsia="Times New Roman" w:hAnsi="Times New Roman" w:cs="Times New Roman"/>
            <w:color w:val="1155CC"/>
            <w:sz w:val="24"/>
            <w:szCs w:val="24"/>
            <w:u w:val="single"/>
          </w:rPr>
          <w:t>https://www.gnlm.com.mm/myanmar-secures-over-us1-billion-fdi-in-7-months-of-2022-2023fy/</w:t>
        </w:r>
      </w:hyperlink>
    </w:p>
    <w:p w14:paraId="1D2BF74F"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International Crisis Group. (2021). Myanmar’s coup: Next steps. </w:t>
      </w:r>
      <w:r>
        <w:rPr>
          <w:rFonts w:ascii="Times New Roman" w:eastAsia="Times New Roman" w:hAnsi="Times New Roman" w:cs="Times New Roman"/>
          <w:i/>
          <w:sz w:val="24"/>
          <w:szCs w:val="24"/>
        </w:rPr>
        <w:t>International Crisis Group</w:t>
      </w:r>
      <w:r>
        <w:rPr>
          <w:rFonts w:ascii="Times New Roman" w:eastAsia="Times New Roman" w:hAnsi="Times New Roman" w:cs="Times New Roman"/>
          <w:sz w:val="24"/>
          <w:szCs w:val="24"/>
        </w:rPr>
        <w:t>.</w:t>
      </w:r>
      <w:hyperlink r:id="rId14">
        <w:r w:rsidR="00D2567F">
          <w:rPr>
            <w:rFonts w:ascii="Times New Roman" w:eastAsia="Times New Roman" w:hAnsi="Times New Roman" w:cs="Times New Roman"/>
            <w:sz w:val="24"/>
            <w:szCs w:val="24"/>
          </w:rPr>
          <w:t xml:space="preserve"> </w:t>
        </w:r>
      </w:hyperlink>
      <w:hyperlink r:id="rId15">
        <w:r w:rsidR="00D2567F">
          <w:rPr>
            <w:rFonts w:ascii="Times New Roman" w:eastAsia="Times New Roman" w:hAnsi="Times New Roman" w:cs="Times New Roman"/>
            <w:color w:val="1155CC"/>
            <w:sz w:val="24"/>
            <w:szCs w:val="24"/>
            <w:u w:val="single"/>
          </w:rPr>
          <w:t>https://www.crisisgroup.org/asia/south-east-asia/myanmar/myanmars-coup-next-steps</w:t>
        </w:r>
      </w:hyperlink>
    </w:p>
    <w:p w14:paraId="3ABB5B5B"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Kaufmann, D., Kraay, A., &amp; </w:t>
      </w:r>
      <w:proofErr w:type="spellStart"/>
      <w:r>
        <w:rPr>
          <w:rFonts w:ascii="Times New Roman" w:eastAsia="Times New Roman" w:hAnsi="Times New Roman" w:cs="Times New Roman"/>
          <w:sz w:val="24"/>
          <w:szCs w:val="24"/>
        </w:rPr>
        <w:t>Mastruzzi</w:t>
      </w:r>
      <w:proofErr w:type="spellEnd"/>
      <w:r>
        <w:rPr>
          <w:rFonts w:ascii="Times New Roman" w:eastAsia="Times New Roman" w:hAnsi="Times New Roman" w:cs="Times New Roman"/>
          <w:sz w:val="24"/>
          <w:szCs w:val="24"/>
        </w:rPr>
        <w:t xml:space="preserve">, M. (2010). The worldwide governance indicators: Methodology and analytical issues. </w:t>
      </w:r>
      <w:r>
        <w:rPr>
          <w:rFonts w:ascii="Times New Roman" w:eastAsia="Times New Roman" w:hAnsi="Times New Roman" w:cs="Times New Roman"/>
          <w:i/>
          <w:sz w:val="24"/>
          <w:szCs w:val="24"/>
        </w:rPr>
        <w:t>World Bank Policy Research Working Paper No. 5430</w:t>
      </w:r>
      <w:r>
        <w:rPr>
          <w:rFonts w:ascii="Times New Roman" w:eastAsia="Times New Roman" w:hAnsi="Times New Roman" w:cs="Times New Roman"/>
          <w:sz w:val="24"/>
          <w:szCs w:val="24"/>
        </w:rPr>
        <w:t>. https://doi.org/10.1596/1813-9450-5430</w:t>
      </w:r>
    </w:p>
    <w:p w14:paraId="40AC8920"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X., &amp; Liu, X. </w:t>
      </w:r>
      <w:r>
        <w:rPr>
          <w:rFonts w:ascii="Times New Roman" w:eastAsia="Times New Roman" w:hAnsi="Times New Roman" w:cs="Times New Roman"/>
          <w:sz w:val="24"/>
          <w:szCs w:val="24"/>
        </w:rPr>
        <w:t xml:space="preserve">(2005). Foreign direct investment and economic growth: An increasingly endogenous relationship. </w:t>
      </w:r>
      <w:r>
        <w:rPr>
          <w:rFonts w:ascii="Times New Roman" w:eastAsia="Times New Roman" w:hAnsi="Times New Roman" w:cs="Times New Roman"/>
          <w:i/>
          <w:sz w:val="24"/>
          <w:szCs w:val="24"/>
        </w:rPr>
        <w:t>World Development, 33</w:t>
      </w:r>
      <w:r>
        <w:rPr>
          <w:rFonts w:ascii="Times New Roman" w:eastAsia="Times New Roman" w:hAnsi="Times New Roman" w:cs="Times New Roman"/>
          <w:sz w:val="24"/>
          <w:szCs w:val="24"/>
        </w:rPr>
        <w:t>(3), 393-407. https://doi.org/10.1016/j.worlddev.2004.11.001</w:t>
      </w:r>
    </w:p>
    <w:p w14:paraId="36156D03"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Macrotrends. (2023). Myanmar foreign direct investment 1994–2023. </w:t>
      </w:r>
      <w:r>
        <w:rPr>
          <w:rFonts w:ascii="Times New Roman" w:eastAsia="Times New Roman" w:hAnsi="Times New Roman" w:cs="Times New Roman"/>
          <w:i/>
          <w:sz w:val="24"/>
          <w:szCs w:val="24"/>
        </w:rPr>
        <w:t>Macrotrends</w:t>
      </w:r>
      <w:r>
        <w:rPr>
          <w:rFonts w:ascii="Times New Roman" w:eastAsia="Times New Roman" w:hAnsi="Times New Roman" w:cs="Times New Roman"/>
          <w:sz w:val="24"/>
          <w:szCs w:val="24"/>
        </w:rPr>
        <w:t>.</w:t>
      </w:r>
      <w:hyperlink r:id="rId16">
        <w:r w:rsidR="00D2567F">
          <w:rPr>
            <w:rFonts w:ascii="Times New Roman" w:eastAsia="Times New Roman" w:hAnsi="Times New Roman" w:cs="Times New Roman"/>
            <w:sz w:val="24"/>
            <w:szCs w:val="24"/>
          </w:rPr>
          <w:t xml:space="preserve"> </w:t>
        </w:r>
      </w:hyperlink>
      <w:hyperlink r:id="rId17">
        <w:r w:rsidR="00D2567F">
          <w:rPr>
            <w:rFonts w:ascii="Times New Roman" w:eastAsia="Times New Roman" w:hAnsi="Times New Roman" w:cs="Times New Roman"/>
            <w:color w:val="1155CC"/>
            <w:sz w:val="24"/>
            <w:szCs w:val="24"/>
            <w:u w:val="single"/>
          </w:rPr>
          <w:t>https://www.macrotrends.net/global-metrics/countries/MMR/myanmar/foreign-direct-investment</w:t>
        </w:r>
      </w:hyperlink>
    </w:p>
    <w:p w14:paraId="6F03E481"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Steinberg, D. I. (2010). </w:t>
      </w:r>
      <w:r>
        <w:rPr>
          <w:rFonts w:ascii="Times New Roman" w:eastAsia="Times New Roman" w:hAnsi="Times New Roman" w:cs="Times New Roman"/>
          <w:i/>
          <w:sz w:val="24"/>
          <w:szCs w:val="24"/>
        </w:rPr>
        <w:t>Burma/Myanmar: What everyone needs to know</w:t>
      </w:r>
      <w:r>
        <w:rPr>
          <w:rFonts w:ascii="Times New Roman" w:eastAsia="Times New Roman" w:hAnsi="Times New Roman" w:cs="Times New Roman"/>
          <w:sz w:val="24"/>
          <w:szCs w:val="24"/>
        </w:rPr>
        <w:t>. Oxford University Press.</w:t>
      </w:r>
    </w:p>
    <w:p w14:paraId="03620F98" w14:textId="77777777" w:rsidR="00D2567F" w:rsidRDefault="003D3F1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UNCTAD. (2020). </w:t>
      </w:r>
      <w:r>
        <w:rPr>
          <w:rFonts w:ascii="Times New Roman" w:eastAsia="Times New Roman" w:hAnsi="Times New Roman" w:cs="Times New Roman"/>
          <w:i/>
          <w:sz w:val="24"/>
          <w:szCs w:val="24"/>
        </w:rPr>
        <w:t>World Investment Report 2020: International production beyond the pandemic</w:t>
      </w:r>
      <w:r>
        <w:rPr>
          <w:rFonts w:ascii="Times New Roman" w:eastAsia="Times New Roman" w:hAnsi="Times New Roman" w:cs="Times New Roman"/>
          <w:sz w:val="24"/>
          <w:szCs w:val="24"/>
        </w:rPr>
        <w:t>. United Nations</w:t>
      </w:r>
      <w:r>
        <w:rPr>
          <w:rFonts w:ascii="Times New Roman" w:eastAsia="Times New Roman" w:hAnsi="Times New Roman" w:cs="Times New Roman"/>
          <w:sz w:val="24"/>
          <w:szCs w:val="24"/>
        </w:rPr>
        <w:t xml:space="preserve"> Conference on Trade and Development. https://unctad.org/system/files/official-document/wir2020_en.pdf</w:t>
      </w:r>
    </w:p>
    <w:p w14:paraId="63FCEEE4" w14:textId="77777777" w:rsidR="00D2567F" w:rsidRDefault="003D3F15">
      <w:pPr>
        <w:numPr>
          <w:ilvl w:val="0"/>
          <w:numId w:val="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Bank. (2020). </w:t>
      </w:r>
      <w:r>
        <w:rPr>
          <w:rFonts w:ascii="Times New Roman" w:eastAsia="Times New Roman" w:hAnsi="Times New Roman" w:cs="Times New Roman"/>
          <w:i/>
          <w:sz w:val="24"/>
          <w:szCs w:val="24"/>
        </w:rPr>
        <w:t>Myanmar economic monitor: Resilience amidst challenges</w:t>
      </w:r>
      <w:r>
        <w:rPr>
          <w:rFonts w:ascii="Times New Roman" w:eastAsia="Times New Roman" w:hAnsi="Times New Roman" w:cs="Times New Roman"/>
          <w:sz w:val="24"/>
          <w:szCs w:val="24"/>
        </w:rPr>
        <w:t>. World Bank Group.</w:t>
      </w:r>
      <w:hyperlink r:id="rId18">
        <w:r w:rsidR="00D2567F">
          <w:rPr>
            <w:rFonts w:ascii="Times New Roman" w:eastAsia="Times New Roman" w:hAnsi="Times New Roman" w:cs="Times New Roman"/>
            <w:sz w:val="24"/>
            <w:szCs w:val="24"/>
          </w:rPr>
          <w:t xml:space="preserve"> </w:t>
        </w:r>
      </w:hyperlink>
      <w:hyperlink r:id="rId19">
        <w:r w:rsidR="00D2567F">
          <w:rPr>
            <w:rFonts w:ascii="Times New Roman" w:eastAsia="Times New Roman" w:hAnsi="Times New Roman" w:cs="Times New Roman"/>
            <w:color w:val="1155CC"/>
            <w:sz w:val="24"/>
            <w:szCs w:val="24"/>
            <w:u w:val="single"/>
          </w:rPr>
          <w:t>https://documents1.worldbank.org/curated/en/511681585924232576/pdf/Myanmar-Economic-Monitor-April-2020-Resilience-Amidst-Challenges.pdf</w:t>
        </w:r>
      </w:hyperlink>
    </w:p>
    <w:p w14:paraId="79659543" w14:textId="77777777" w:rsidR="00D2567F" w:rsidRDefault="00D2567F">
      <w:pPr>
        <w:spacing w:line="360" w:lineRule="auto"/>
        <w:jc w:val="both"/>
        <w:rPr>
          <w:rFonts w:ascii="Times New Roman" w:eastAsia="Times New Roman" w:hAnsi="Times New Roman" w:cs="Times New Roman"/>
          <w:sz w:val="24"/>
          <w:szCs w:val="24"/>
        </w:rPr>
      </w:pPr>
    </w:p>
    <w:p w14:paraId="491C35E2" w14:textId="77777777" w:rsidR="00D2567F" w:rsidRDefault="00D2567F">
      <w:pPr>
        <w:spacing w:line="360" w:lineRule="auto"/>
        <w:jc w:val="both"/>
        <w:rPr>
          <w:rFonts w:ascii="Times New Roman" w:eastAsia="Times New Roman" w:hAnsi="Times New Roman" w:cs="Times New Roman"/>
          <w:sz w:val="24"/>
          <w:szCs w:val="24"/>
        </w:rPr>
      </w:pPr>
      <w:bookmarkStart w:id="11" w:name="_GoBack"/>
      <w:bookmarkEnd w:id="11"/>
    </w:p>
    <w:sectPr w:rsidR="00D2567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2A1E" w14:textId="77777777" w:rsidR="003D3F15" w:rsidRDefault="003D3F15">
      <w:pPr>
        <w:spacing w:line="240" w:lineRule="auto"/>
      </w:pPr>
      <w:r>
        <w:separator/>
      </w:r>
    </w:p>
  </w:endnote>
  <w:endnote w:type="continuationSeparator" w:id="0">
    <w:p w14:paraId="509BAFAE" w14:textId="77777777" w:rsidR="003D3F15" w:rsidRDefault="003D3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4813" w14:textId="77777777" w:rsidR="00C36F8B" w:rsidRDefault="00C3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1204" w14:textId="77777777" w:rsidR="00C36F8B" w:rsidRDefault="00C36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3E1B" w14:textId="77777777" w:rsidR="00C36F8B" w:rsidRDefault="00C3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183B" w14:textId="77777777" w:rsidR="003D3F15" w:rsidRDefault="003D3F15">
      <w:pPr>
        <w:spacing w:line="240" w:lineRule="auto"/>
      </w:pPr>
      <w:r>
        <w:separator/>
      </w:r>
    </w:p>
  </w:footnote>
  <w:footnote w:type="continuationSeparator" w:id="0">
    <w:p w14:paraId="71A553F8" w14:textId="77777777" w:rsidR="003D3F15" w:rsidRDefault="003D3F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801C" w14:textId="39CD9DAA" w:rsidR="00C36F8B" w:rsidRDefault="00C36F8B">
    <w:pPr>
      <w:pStyle w:val="Header"/>
    </w:pPr>
    <w:r>
      <w:rPr>
        <w:noProof/>
      </w:rPr>
      <w:pict w14:anchorId="70B06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6E06" w14:textId="659DBBE8" w:rsidR="00D2567F" w:rsidRDefault="00C36F8B">
    <w:r>
      <w:rPr>
        <w:noProof/>
      </w:rPr>
      <w:pict w14:anchorId="4BFA8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5439" w14:textId="44432EC2" w:rsidR="00C36F8B" w:rsidRDefault="00C36F8B">
    <w:pPr>
      <w:pStyle w:val="Header"/>
    </w:pPr>
    <w:r>
      <w:rPr>
        <w:noProof/>
      </w:rPr>
      <w:pict w14:anchorId="0B7C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EA0"/>
    <w:multiLevelType w:val="multilevel"/>
    <w:tmpl w:val="3A042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75259F"/>
    <w:multiLevelType w:val="multilevel"/>
    <w:tmpl w:val="FF701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C83F2B"/>
    <w:multiLevelType w:val="multilevel"/>
    <w:tmpl w:val="43044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7F"/>
    <w:rsid w:val="00040A23"/>
    <w:rsid w:val="00086C8C"/>
    <w:rsid w:val="003D3F15"/>
    <w:rsid w:val="004E4F8E"/>
    <w:rsid w:val="00633280"/>
    <w:rsid w:val="006D2DC7"/>
    <w:rsid w:val="007D6F3F"/>
    <w:rsid w:val="008C37A8"/>
    <w:rsid w:val="00B94B3B"/>
    <w:rsid w:val="00C36F8B"/>
    <w:rsid w:val="00D2567F"/>
    <w:rsid w:val="00D75F42"/>
    <w:rsid w:val="00E1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EC883"/>
  <w15:docId w15:val="{35342E1F-3E0F-4CBE-AED0-EDD212EC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D6F3F"/>
    <w:rPr>
      <w:color w:val="0000FF" w:themeColor="hyperlink"/>
      <w:u w:val="single"/>
    </w:rPr>
  </w:style>
  <w:style w:type="character" w:styleId="UnresolvedMention">
    <w:name w:val="Unresolved Mention"/>
    <w:basedOn w:val="DefaultParagraphFont"/>
    <w:uiPriority w:val="99"/>
    <w:semiHidden/>
    <w:unhideWhenUsed/>
    <w:rsid w:val="007D6F3F"/>
    <w:rPr>
      <w:color w:val="605E5C"/>
      <w:shd w:val="clear" w:color="auto" w:fill="E1DFDD"/>
    </w:rPr>
  </w:style>
  <w:style w:type="paragraph" w:styleId="Header">
    <w:name w:val="header"/>
    <w:basedOn w:val="Normal"/>
    <w:link w:val="HeaderChar"/>
    <w:uiPriority w:val="99"/>
    <w:unhideWhenUsed/>
    <w:rsid w:val="00C36F8B"/>
    <w:pPr>
      <w:tabs>
        <w:tab w:val="center" w:pos="4513"/>
        <w:tab w:val="right" w:pos="9026"/>
      </w:tabs>
      <w:spacing w:line="240" w:lineRule="auto"/>
    </w:pPr>
  </w:style>
  <w:style w:type="character" w:customStyle="1" w:styleId="HeaderChar">
    <w:name w:val="Header Char"/>
    <w:basedOn w:val="DefaultParagraphFont"/>
    <w:link w:val="Header"/>
    <w:uiPriority w:val="99"/>
    <w:rsid w:val="00C36F8B"/>
  </w:style>
  <w:style w:type="paragraph" w:styleId="Footer">
    <w:name w:val="footer"/>
    <w:basedOn w:val="Normal"/>
    <w:link w:val="FooterChar"/>
    <w:uiPriority w:val="99"/>
    <w:unhideWhenUsed/>
    <w:rsid w:val="00C36F8B"/>
    <w:pPr>
      <w:tabs>
        <w:tab w:val="center" w:pos="4513"/>
        <w:tab w:val="right" w:pos="9026"/>
      </w:tabs>
      <w:spacing w:line="240" w:lineRule="auto"/>
    </w:pPr>
  </w:style>
  <w:style w:type="character" w:customStyle="1" w:styleId="FooterChar">
    <w:name w:val="Footer Char"/>
    <w:basedOn w:val="DefaultParagraphFont"/>
    <w:link w:val="Footer"/>
    <w:uiPriority w:val="99"/>
    <w:rsid w:val="00C36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261726" TargetMode="External"/><Relationship Id="rId13" Type="http://schemas.openxmlformats.org/officeDocument/2006/relationships/hyperlink" Target="https://www.gnlm.com.mm/myanmar-secures-over-us1-billion-fdi-in-7-months-of-2022-2023fy/" TargetMode="External"/><Relationship Id="rId18" Type="http://schemas.openxmlformats.org/officeDocument/2006/relationships/hyperlink" Target="https://documents1.worldbank.org/curated/en/511681585924232576/pdf/Myanmar-Economic-Monitor-April-2020-Resilience-Amidst-Challen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nlm.com.mm/myanmar-secures-over-us1-billion-fdi-in-7-months-of-2022-2023fy/" TargetMode="External"/><Relationship Id="rId17" Type="http://schemas.openxmlformats.org/officeDocument/2006/relationships/hyperlink" Target="https://www.macrotrends.net/global-metrics/countries/MMR/myanmar/foreign-direct-investm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crotrends.net/global-metrics/countries/MMR/myanmar/foreign-direct-invest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jpoleco.2006.02.00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risisgroup.org/asia/south-east-asia/myanmar/myanmars-coup-next-steps" TargetMode="External"/><Relationship Id="rId23" Type="http://schemas.openxmlformats.org/officeDocument/2006/relationships/footer" Target="footer2.xml"/><Relationship Id="rId10" Type="http://schemas.openxmlformats.org/officeDocument/2006/relationships/hyperlink" Target="https://doi.org/10.1016/j.ejpoleco.2006.02.003" TargetMode="External"/><Relationship Id="rId19" Type="http://schemas.openxmlformats.org/officeDocument/2006/relationships/hyperlink" Target="https://documents1.worldbank.org/curated/en/511681585924232576/pdf/Myanmar-Economic-Monitor-April-2020-Resilience-Amidst-Challenges.pdf" TargetMode="External"/><Relationship Id="rId4" Type="http://schemas.openxmlformats.org/officeDocument/2006/relationships/settings" Target="settings.xml"/><Relationship Id="rId9" Type="http://schemas.openxmlformats.org/officeDocument/2006/relationships/hyperlink" Target="https://doi.org/10.1086/261726" TargetMode="External"/><Relationship Id="rId14" Type="http://schemas.openxmlformats.org/officeDocument/2006/relationships/hyperlink" Target="https://www.crisisgroup.org/asia/south-east-asia/myanmar/myanmars-coup-next-step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2C4RivIUVJQ+tt2CGhneG2eszQ==">CgMxLjAyCGguZ2pkZ3hzMgloLjMwajB6bGwyCWguMWZvYjl0ZTIJaC4zem55c2g3MgloLjJldDkycDAyCGgudHlqY3d0MgloLjNkeTZ2a20yCWguMXQzaDVzZjIJaC40ZDM0b2c4MgloLjJzOGV5bzEyCWguMTdkcDh2dTgAciExeFpzNUg3TVJfelhTM2lmWGJSQ0ltank3YzROaVVRR0w=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1167</cp:lastModifiedBy>
  <cp:revision>5</cp:revision>
  <dcterms:created xsi:type="dcterms:W3CDTF">2025-03-08T09:19:00Z</dcterms:created>
  <dcterms:modified xsi:type="dcterms:W3CDTF">2025-03-12T04:08:00Z</dcterms:modified>
</cp:coreProperties>
</file>