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2D01C" w14:textId="77777777" w:rsidR="00294F4C" w:rsidRDefault="00294F4C">
      <w:pPr>
        <w:spacing w:before="240" w:line="240" w:lineRule="auto"/>
        <w:jc w:val="both"/>
        <w:rPr>
          <w:rFonts w:ascii="Times New Roman" w:hAnsi="Times New Roman" w:cs="Times New Roman"/>
          <w:sz w:val="24"/>
          <w:szCs w:val="24"/>
        </w:rPr>
      </w:pPr>
    </w:p>
    <w:p w14:paraId="745684EE" w14:textId="77777777" w:rsidR="00294F4C" w:rsidRDefault="00EA23E1">
      <w:pPr>
        <w:spacing w:before="24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Comparative effect of </w:t>
      </w:r>
      <w:r>
        <w:rPr>
          <w:rFonts w:ascii="Times New Roman" w:hAnsi="Times New Roman" w:cs="Times New Roman"/>
          <w:b/>
          <w:bCs/>
          <w:i/>
          <w:sz w:val="24"/>
          <w:szCs w:val="24"/>
        </w:rPr>
        <w:t xml:space="preserve">Cocos nucifera </w:t>
      </w:r>
      <w:r>
        <w:rPr>
          <w:rFonts w:ascii="Times New Roman" w:hAnsi="Times New Roman" w:cs="Times New Roman"/>
          <w:b/>
          <w:bCs/>
          <w:sz w:val="24"/>
          <w:szCs w:val="24"/>
        </w:rPr>
        <w:t xml:space="preserve">and Cyperus </w:t>
      </w:r>
      <w:r>
        <w:rPr>
          <w:rFonts w:ascii="Times New Roman" w:hAnsi="Times New Roman" w:cs="Times New Roman"/>
          <w:b/>
          <w:bCs/>
          <w:i/>
          <w:sz w:val="24"/>
          <w:szCs w:val="24"/>
        </w:rPr>
        <w:t xml:space="preserve">esculentus </w:t>
      </w:r>
      <w:r>
        <w:rPr>
          <w:rFonts w:ascii="Times New Roman" w:hAnsi="Times New Roman" w:cs="Times New Roman"/>
          <w:b/>
          <w:bCs/>
          <w:sz w:val="24"/>
          <w:szCs w:val="24"/>
        </w:rPr>
        <w:t xml:space="preserve">extracts </w:t>
      </w:r>
      <w:r>
        <w:rPr>
          <w:rFonts w:ascii="Times New Roman" w:hAnsi="Times New Roman" w:cs="Times New Roman"/>
          <w:b/>
          <w:bCs/>
          <w:color w:val="000000"/>
          <w:sz w:val="24"/>
          <w:szCs w:val="24"/>
          <w:shd w:val="clear" w:color="auto" w:fill="FFFFFF"/>
        </w:rPr>
        <w:t xml:space="preserve">on Oxidative stress biomarkers in Hepatitis B virus (HBV) </w:t>
      </w:r>
      <w:proofErr w:type="gramStart"/>
      <w:r>
        <w:rPr>
          <w:rFonts w:ascii="Times New Roman" w:hAnsi="Times New Roman" w:cs="Times New Roman"/>
          <w:b/>
          <w:bCs/>
          <w:color w:val="000000"/>
          <w:sz w:val="24"/>
          <w:szCs w:val="24"/>
          <w:shd w:val="clear" w:color="auto" w:fill="FFFFFF"/>
        </w:rPr>
        <w:t>infected  mice</w:t>
      </w:r>
      <w:proofErr w:type="gramEnd"/>
      <w:r>
        <w:rPr>
          <w:rFonts w:ascii="Times New Roman" w:hAnsi="Times New Roman" w:cs="Times New Roman"/>
          <w:b/>
          <w:bCs/>
          <w:color w:val="000000"/>
          <w:sz w:val="24"/>
          <w:szCs w:val="24"/>
          <w:shd w:val="clear" w:color="auto" w:fill="FFFFFF"/>
        </w:rPr>
        <w:t>.</w:t>
      </w:r>
    </w:p>
    <w:p w14:paraId="6F93B2EA" w14:textId="77777777" w:rsidR="007C5586" w:rsidRDefault="007C5586">
      <w:pPr>
        <w:spacing w:before="240" w:line="240" w:lineRule="auto"/>
        <w:jc w:val="both"/>
        <w:rPr>
          <w:rFonts w:ascii="Times New Roman" w:hAnsi="Times New Roman" w:cs="Times New Roman"/>
          <w:b/>
          <w:bCs/>
          <w:i/>
          <w:iCs/>
          <w:sz w:val="24"/>
          <w:szCs w:val="24"/>
        </w:rPr>
      </w:pPr>
    </w:p>
    <w:p w14:paraId="243335A3" w14:textId="32688A70" w:rsidR="00294F4C" w:rsidRDefault="00EA23E1">
      <w:pPr>
        <w:spacing w:before="24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Abstract</w:t>
      </w:r>
    </w:p>
    <w:p w14:paraId="5B9D64E9" w14:textId="77777777" w:rsidR="00294F4C" w:rsidRDefault="00EA23E1">
      <w:pPr>
        <w:spacing w:before="240" w:line="240" w:lineRule="auto"/>
        <w:jc w:val="both"/>
        <w:rPr>
          <w:rFonts w:ascii="Times New Roman" w:hAnsi="Times New Roman" w:cs="Times New Roman"/>
          <w:i/>
          <w:iCs/>
          <w:color w:val="000000"/>
          <w:sz w:val="24"/>
          <w:szCs w:val="24"/>
          <w:shd w:val="clear" w:color="auto" w:fill="FFFFFF"/>
        </w:rPr>
      </w:pPr>
      <w:r>
        <w:rPr>
          <w:rFonts w:ascii="Times New Roman" w:hAnsi="Times New Roman" w:cs="Times New Roman"/>
          <w:i/>
          <w:iCs/>
          <w:sz w:val="24"/>
          <w:szCs w:val="24"/>
        </w:rPr>
        <w:t>Aim: To evaluate the c</w:t>
      </w:r>
      <w:r>
        <w:rPr>
          <w:rFonts w:ascii="Times New Roman" w:hAnsi="Times New Roman" w:cs="Times New Roman"/>
          <w:i/>
          <w:iCs/>
          <w:color w:val="000000"/>
          <w:sz w:val="24"/>
          <w:szCs w:val="24"/>
          <w:shd w:val="clear" w:color="auto" w:fill="FFFFFF"/>
        </w:rPr>
        <w:t xml:space="preserve">omparative effect of </w:t>
      </w:r>
      <w:r>
        <w:rPr>
          <w:rFonts w:ascii="Times New Roman" w:hAnsi="Times New Roman" w:cs="Times New Roman"/>
          <w:i/>
          <w:iCs/>
          <w:sz w:val="24"/>
          <w:szCs w:val="24"/>
        </w:rPr>
        <w:t xml:space="preserve">Cocos nucifera and Cyperus esculentus extract </w:t>
      </w:r>
      <w:r>
        <w:rPr>
          <w:rFonts w:ascii="Times New Roman" w:hAnsi="Times New Roman" w:cs="Times New Roman"/>
          <w:i/>
          <w:iCs/>
          <w:color w:val="000000"/>
          <w:sz w:val="24"/>
          <w:szCs w:val="24"/>
          <w:shd w:val="clear" w:color="auto" w:fill="FFFFFF"/>
        </w:rPr>
        <w:t>on oxidative stress biomarkers in HBV infected mice.</w:t>
      </w:r>
    </w:p>
    <w:p w14:paraId="40352F69" w14:textId="77777777" w:rsidR="00294F4C" w:rsidRDefault="00EA23E1">
      <w:pPr>
        <w:spacing w:line="240" w:lineRule="auto"/>
        <w:jc w:val="both"/>
        <w:rPr>
          <w:rFonts w:ascii="Times New Roman" w:hAnsi="Times New Roman" w:cs="Times New Roman"/>
          <w:i/>
          <w:iCs/>
          <w:sz w:val="24"/>
          <w:szCs w:val="24"/>
        </w:rPr>
      </w:pPr>
      <w:r>
        <w:rPr>
          <w:rFonts w:ascii="Times New Roman" w:hAnsi="Times New Roman" w:cs="Times New Roman"/>
          <w:i/>
          <w:iCs/>
          <w:color w:val="000000"/>
          <w:sz w:val="24"/>
          <w:szCs w:val="24"/>
          <w:shd w:val="clear" w:color="auto" w:fill="FFFFFF"/>
        </w:rPr>
        <w:t xml:space="preserve">Study design: </w:t>
      </w:r>
      <w:r>
        <w:rPr>
          <w:rFonts w:ascii="Times New Roman" w:hAnsi="Times New Roman" w:cs="Times New Roman"/>
          <w:i/>
          <w:iCs/>
          <w:sz w:val="24"/>
          <w:szCs w:val="24"/>
        </w:rPr>
        <w:t xml:space="preserve">The study was a completely randomized design employing relevant </w:t>
      </w:r>
      <w:r>
        <w:rPr>
          <w:rFonts w:ascii="Times New Roman" w:hAnsi="Times New Roman" w:cs="Times New Roman"/>
          <w:i/>
          <w:iCs/>
          <w:sz w:val="24"/>
          <w:szCs w:val="24"/>
        </w:rPr>
        <w:t>statistical tools for analysis and interpretation.</w:t>
      </w:r>
    </w:p>
    <w:p w14:paraId="5368B725" w14:textId="77777777" w:rsidR="00294F4C" w:rsidRDefault="00EA23E1">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Place and Duration of Study:</w:t>
      </w:r>
      <w:r>
        <w:rPr>
          <w:rFonts w:ascii="Times New Roman" w:eastAsia="Times New Roman" w:hAnsi="Times New Roman" w:cs="Times New Roman"/>
          <w:i/>
          <w:iCs/>
          <w:sz w:val="24"/>
          <w:szCs w:val="24"/>
        </w:rPr>
        <w:t xml:space="preserve"> The study was carried out in the Department of Animal and Environmental Biology, Rivers State University. The experiment lasted for 35 days between September and December </w:t>
      </w:r>
      <w:proofErr w:type="gramStart"/>
      <w:r>
        <w:rPr>
          <w:rFonts w:ascii="Times New Roman" w:eastAsia="Times New Roman" w:hAnsi="Times New Roman" w:cs="Times New Roman"/>
          <w:i/>
          <w:iCs/>
          <w:sz w:val="24"/>
          <w:szCs w:val="24"/>
        </w:rPr>
        <w:t xml:space="preserve">2021 </w:t>
      </w:r>
      <w:r>
        <w:rPr>
          <w:rFonts w:ascii="Times New Roman" w:eastAsia="Times New Roman" w:hAnsi="Times New Roman" w:cs="Times New Roman"/>
          <w:i/>
          <w:iCs/>
          <w:sz w:val="24"/>
          <w:szCs w:val="24"/>
        </w:rPr>
        <w:t>.</w:t>
      </w:r>
      <w:proofErr w:type="gramEnd"/>
    </w:p>
    <w:p w14:paraId="7346E4C6" w14:textId="77777777" w:rsidR="00294F4C" w:rsidRDefault="00EA23E1">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Methodology: A total of 25 male mice were randomly selected into 5 groups (n=5).  </w:t>
      </w:r>
      <w:r>
        <w:rPr>
          <w:rFonts w:ascii="Times New Roman" w:hAnsi="Times New Roman" w:cs="Times New Roman"/>
          <w:color w:val="000000"/>
          <w:sz w:val="24"/>
          <w:szCs w:val="24"/>
        </w:rPr>
        <w:t xml:space="preserve">Group (A) was the Negative control group and so received no treatment. Group B C, D, and </w:t>
      </w:r>
      <w:proofErr w:type="spellStart"/>
      <w:r>
        <w:rPr>
          <w:rFonts w:ascii="Times New Roman" w:hAnsi="Times New Roman" w:cs="Times New Roman"/>
          <w:color w:val="000000"/>
          <w:sz w:val="24"/>
          <w:szCs w:val="24"/>
        </w:rPr>
        <w:t>E</w:t>
      </w:r>
      <w:proofErr w:type="spellEnd"/>
      <w:r>
        <w:rPr>
          <w:rFonts w:ascii="Times New Roman" w:hAnsi="Times New Roman" w:cs="Times New Roman"/>
          <w:color w:val="000000"/>
          <w:sz w:val="24"/>
          <w:szCs w:val="24"/>
        </w:rPr>
        <w:t xml:space="preserve"> were infected with HBV virus. And the infection was confirmed using Hepatitis B s</w:t>
      </w:r>
      <w:r>
        <w:rPr>
          <w:rFonts w:ascii="Times New Roman" w:hAnsi="Times New Roman" w:cs="Times New Roman"/>
          <w:color w:val="000000"/>
          <w:sz w:val="24"/>
          <w:szCs w:val="24"/>
        </w:rPr>
        <w:t xml:space="preserve">urface antigen (HBsAg) rapid kit.  Group B animals were administered 0.2ml of </w:t>
      </w:r>
      <w:r>
        <w:rPr>
          <w:rFonts w:ascii="Times New Roman" w:hAnsi="Times New Roman" w:cs="Times New Roman"/>
          <w:i/>
          <w:sz w:val="24"/>
          <w:szCs w:val="24"/>
        </w:rPr>
        <w:t>Cocos nucifera</w:t>
      </w:r>
      <w:r>
        <w:rPr>
          <w:rFonts w:ascii="Times New Roman" w:hAnsi="Times New Roman" w:cs="Times New Roman"/>
          <w:color w:val="000000"/>
          <w:sz w:val="24"/>
          <w:szCs w:val="24"/>
        </w:rPr>
        <w:t xml:space="preserve"> extract, group C were </w:t>
      </w:r>
      <w:proofErr w:type="gramStart"/>
      <w:r>
        <w:rPr>
          <w:rFonts w:ascii="Times New Roman" w:hAnsi="Times New Roman" w:cs="Times New Roman"/>
          <w:color w:val="000000"/>
          <w:sz w:val="24"/>
          <w:szCs w:val="24"/>
        </w:rPr>
        <w:t>administered  0.2</w:t>
      </w:r>
      <w:proofErr w:type="gramEnd"/>
      <w:r>
        <w:rPr>
          <w:rFonts w:ascii="Times New Roman" w:hAnsi="Times New Roman" w:cs="Times New Roman"/>
          <w:color w:val="000000"/>
          <w:sz w:val="24"/>
          <w:szCs w:val="24"/>
        </w:rPr>
        <w:t xml:space="preserve"> ml of </w:t>
      </w:r>
      <w:r>
        <w:rPr>
          <w:rFonts w:ascii="Times New Roman" w:hAnsi="Times New Roman" w:cs="Times New Roman"/>
          <w:i/>
          <w:iCs/>
          <w:sz w:val="24"/>
          <w:szCs w:val="24"/>
        </w:rPr>
        <w:t xml:space="preserve">Cyperus esculentus </w:t>
      </w:r>
      <w:r>
        <w:rPr>
          <w:rFonts w:ascii="Times New Roman" w:hAnsi="Times New Roman" w:cs="Times New Roman"/>
          <w:color w:val="000000"/>
          <w:sz w:val="24"/>
          <w:szCs w:val="24"/>
        </w:rPr>
        <w:t xml:space="preserve">extract while group E were administered  0.2ml of equal proportion of the two extract;  </w:t>
      </w:r>
      <w:r>
        <w:rPr>
          <w:rFonts w:ascii="Times New Roman" w:hAnsi="Times New Roman" w:cs="Times New Roman"/>
          <w:i/>
          <w:iCs/>
          <w:sz w:val="24"/>
          <w:szCs w:val="24"/>
        </w:rPr>
        <w:t>Cyperus es</w:t>
      </w:r>
      <w:r>
        <w:rPr>
          <w:rFonts w:ascii="Times New Roman" w:hAnsi="Times New Roman" w:cs="Times New Roman"/>
          <w:i/>
          <w:iCs/>
          <w:sz w:val="24"/>
          <w:szCs w:val="24"/>
        </w:rPr>
        <w:t xml:space="preserve">culentus </w:t>
      </w:r>
      <w:r>
        <w:rPr>
          <w:rFonts w:ascii="Times New Roman" w:hAnsi="Times New Roman" w:cs="Times New Roman"/>
          <w:color w:val="000000"/>
          <w:sz w:val="24"/>
          <w:szCs w:val="24"/>
        </w:rPr>
        <w:t xml:space="preserve">and </w:t>
      </w:r>
      <w:r>
        <w:rPr>
          <w:rFonts w:ascii="Times New Roman" w:hAnsi="Times New Roman" w:cs="Times New Roman"/>
          <w:i/>
          <w:sz w:val="24"/>
          <w:szCs w:val="24"/>
        </w:rPr>
        <w:t xml:space="preserve">Cocos nucifera </w:t>
      </w:r>
      <w:r>
        <w:rPr>
          <w:rFonts w:ascii="Times New Roman" w:hAnsi="Times New Roman" w:cs="Times New Roman"/>
          <w:color w:val="000000"/>
          <w:sz w:val="24"/>
          <w:szCs w:val="24"/>
        </w:rPr>
        <w:t>extract.  All the groups were exposed to their treatment for 35days</w:t>
      </w:r>
      <w:r>
        <w:rPr>
          <w:rFonts w:ascii="Times New Roman" w:hAnsi="Times New Roman" w:cs="Times New Roman"/>
          <w:i/>
          <w:iCs/>
          <w:sz w:val="24"/>
          <w:szCs w:val="24"/>
        </w:rPr>
        <w:t>.</w:t>
      </w:r>
    </w:p>
    <w:p w14:paraId="01C37413" w14:textId="77777777" w:rsidR="00294F4C" w:rsidRDefault="00EA23E1">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Results:  There was a significant (P&gt;0.05) decrease in the levels of SOD, GSH, CAT in group B mice infected with HBV without any form of treatment. There was a</w:t>
      </w:r>
      <w:r>
        <w:rPr>
          <w:rFonts w:ascii="Times New Roman" w:hAnsi="Times New Roman" w:cs="Times New Roman"/>
          <w:i/>
          <w:iCs/>
          <w:sz w:val="24"/>
          <w:szCs w:val="24"/>
        </w:rPr>
        <w:t xml:space="preserve">lso significant increase in the level of MDA in the same group.  However, with the coadministration of Cocos nucifera extract in group C, Cyperus esculentus extract in group D and combination of extracts in group </w:t>
      </w:r>
      <w:proofErr w:type="spellStart"/>
      <w:proofErr w:type="gramStart"/>
      <w:r>
        <w:rPr>
          <w:rFonts w:ascii="Times New Roman" w:hAnsi="Times New Roman" w:cs="Times New Roman"/>
          <w:i/>
          <w:iCs/>
          <w:sz w:val="24"/>
          <w:szCs w:val="24"/>
        </w:rPr>
        <w:t>E,there</w:t>
      </w:r>
      <w:proofErr w:type="spellEnd"/>
      <w:proofErr w:type="gramEnd"/>
      <w:r>
        <w:rPr>
          <w:rFonts w:ascii="Times New Roman" w:hAnsi="Times New Roman" w:cs="Times New Roman"/>
          <w:i/>
          <w:iCs/>
          <w:sz w:val="24"/>
          <w:szCs w:val="24"/>
        </w:rPr>
        <w:t xml:space="preserve"> was a significant decrease in all t</w:t>
      </w:r>
      <w:r>
        <w:rPr>
          <w:rFonts w:ascii="Times New Roman" w:hAnsi="Times New Roman" w:cs="Times New Roman"/>
          <w:i/>
          <w:iCs/>
          <w:sz w:val="24"/>
          <w:szCs w:val="24"/>
        </w:rPr>
        <w:t xml:space="preserve">hese biomarkers but a significant decrease in MDA compared with group B. </w:t>
      </w:r>
    </w:p>
    <w:p w14:paraId="42489EFF" w14:textId="77777777" w:rsidR="00294F4C" w:rsidRDefault="00EA23E1">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Conclusion: it appears that Cyperus esculentus extract offered a higher protective effect in HBV infected mice when compared to Cocos nucifera extract or the combination of the extra</w:t>
      </w:r>
      <w:r>
        <w:rPr>
          <w:rFonts w:ascii="Times New Roman" w:hAnsi="Times New Roman" w:cs="Times New Roman"/>
          <w:i/>
          <w:iCs/>
          <w:sz w:val="24"/>
          <w:szCs w:val="24"/>
        </w:rPr>
        <w:t xml:space="preserve">cts. The consumption of Cyperus esculentus extract or a combination of the two extracts is advocated rather than Cocos nucifera extract alone. </w:t>
      </w:r>
    </w:p>
    <w:p w14:paraId="770868EA" w14:textId="77777777" w:rsidR="00294F4C" w:rsidRDefault="00EA23E1">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Keywords:  </w:t>
      </w:r>
      <w:proofErr w:type="gramStart"/>
      <w:r>
        <w:rPr>
          <w:rFonts w:ascii="Times New Roman" w:hAnsi="Times New Roman" w:cs="Times New Roman"/>
          <w:i/>
          <w:iCs/>
          <w:sz w:val="24"/>
          <w:szCs w:val="24"/>
        </w:rPr>
        <w:t xml:space="preserve">Biomarkers,  </w:t>
      </w:r>
      <w:r>
        <w:rPr>
          <w:rFonts w:ascii="Times New Roman" w:hAnsi="Times New Roman" w:cs="Times New Roman"/>
          <w:bCs/>
          <w:i/>
          <w:iCs/>
          <w:sz w:val="24"/>
          <w:szCs w:val="24"/>
        </w:rPr>
        <w:t>Cocos</w:t>
      </w:r>
      <w:proofErr w:type="gramEnd"/>
      <w:r>
        <w:rPr>
          <w:rFonts w:ascii="Times New Roman" w:hAnsi="Times New Roman" w:cs="Times New Roman"/>
          <w:bCs/>
          <w:i/>
          <w:iCs/>
          <w:sz w:val="24"/>
          <w:szCs w:val="24"/>
        </w:rPr>
        <w:t xml:space="preserve"> nucifera,  Cyperus esculentus, </w:t>
      </w:r>
      <w:r>
        <w:rPr>
          <w:rFonts w:ascii="Times New Roman" w:hAnsi="Times New Roman" w:cs="Times New Roman"/>
          <w:i/>
          <w:iCs/>
          <w:sz w:val="24"/>
          <w:szCs w:val="24"/>
        </w:rPr>
        <w:t>Hepatitis B.</w:t>
      </w:r>
    </w:p>
    <w:p w14:paraId="18ADC668" w14:textId="77777777" w:rsidR="00294F4C" w:rsidRDefault="00EA23E1">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1. Introduction</w:t>
      </w:r>
    </w:p>
    <w:p w14:paraId="5DA13EC0" w14:textId="77777777" w:rsidR="00294F4C" w:rsidRDefault="00EA23E1">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Hepatitis B is one of </w:t>
      </w:r>
      <w:r>
        <w:rPr>
          <w:rFonts w:ascii="Times New Roman" w:hAnsi="Times New Roman" w:cs="Times New Roman"/>
          <w:sz w:val="24"/>
          <w:szCs w:val="24"/>
        </w:rPr>
        <w:t xml:space="preserve">the most common infectious diseases in the world and a major health problem. According to the most recent World Health Organization estimate, 2 billion people worldwide have serologic evidence of past or present HBV </w:t>
      </w:r>
      <w:proofErr w:type="gramStart"/>
      <w:r>
        <w:rPr>
          <w:rFonts w:ascii="Times New Roman" w:hAnsi="Times New Roman" w:cs="Times New Roman"/>
          <w:sz w:val="24"/>
          <w:szCs w:val="24"/>
        </w:rPr>
        <w:t xml:space="preserve">infection </w:t>
      </w:r>
      <w:r>
        <w:rPr>
          <w:rFonts w:ascii="Times New Roman" w:eastAsia="SimSun" w:hAnsi="Times New Roman" w:cs="Times New Roman"/>
          <w:color w:val="000000"/>
          <w:sz w:val="24"/>
          <w:szCs w:val="24"/>
          <w:shd w:val="clear" w:color="auto" w:fill="FFFFFF"/>
        </w:rPr>
        <w:t xml:space="preserve"> and</w:t>
      </w:r>
      <w:proofErr w:type="gramEnd"/>
      <w:r>
        <w:rPr>
          <w:rFonts w:ascii="Times New Roman" w:eastAsia="SimSun" w:hAnsi="Times New Roman" w:cs="Times New Roman"/>
          <w:color w:val="000000"/>
          <w:sz w:val="24"/>
          <w:szCs w:val="24"/>
          <w:shd w:val="clear" w:color="auto" w:fill="FFFFFF"/>
        </w:rPr>
        <w:t xml:space="preserve"> 240 million are </w:t>
      </w:r>
      <w:r>
        <w:rPr>
          <w:rFonts w:ascii="Times New Roman" w:eastAsia="SimSun" w:hAnsi="Times New Roman" w:cs="Times New Roman"/>
          <w:color w:val="000000"/>
          <w:sz w:val="24"/>
          <w:szCs w:val="24"/>
          <w:shd w:val="clear" w:color="auto" w:fill="FFFFFF"/>
        </w:rPr>
        <w:lastRenderedPageBreak/>
        <w:t>chronic c</w:t>
      </w:r>
      <w:r>
        <w:rPr>
          <w:rFonts w:ascii="Times New Roman" w:eastAsia="SimSun" w:hAnsi="Times New Roman" w:cs="Times New Roman"/>
          <w:color w:val="000000"/>
          <w:sz w:val="24"/>
          <w:szCs w:val="24"/>
          <w:shd w:val="clear" w:color="auto" w:fill="FFFFFF"/>
        </w:rPr>
        <w:t>arriers of HBV surface antigen (HBsAg)</w:t>
      </w:r>
      <w:r>
        <w:rPr>
          <w:rFonts w:ascii="Times New Roman" w:hAnsi="Times New Roman" w:cs="Times New Roman"/>
          <w:sz w:val="24"/>
          <w:szCs w:val="24"/>
        </w:rPr>
        <w:t xml:space="preserve"> [1].  It is 50 to 100 times more infectious than HIV and 10 times more infectious than hepatitis C virus (HCV) with many carriers not realizing they are infected with the virus. It is an important cause of liver diseases such that chronic infection with H</w:t>
      </w:r>
      <w:r>
        <w:rPr>
          <w:rFonts w:ascii="Times New Roman" w:hAnsi="Times New Roman" w:cs="Times New Roman"/>
          <w:sz w:val="24"/>
          <w:szCs w:val="24"/>
        </w:rPr>
        <w:t xml:space="preserve">BV is a common cause of death associated with liver failure, cirrhosis and liver cancer [2]. </w:t>
      </w:r>
    </w:p>
    <w:p w14:paraId="0DF123B8" w14:textId="77777777" w:rsidR="00294F4C" w:rsidRDefault="00EA23E1">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The prevalence of HBV varies between 2% in developed countries where the prevalence is low to about 8% in developing countries where infection is endemic with sex</w:t>
      </w:r>
      <w:r>
        <w:rPr>
          <w:rFonts w:ascii="Times New Roman" w:hAnsi="Times New Roman" w:cs="Times New Roman"/>
          <w:sz w:val="24"/>
          <w:szCs w:val="24"/>
        </w:rPr>
        <w:t>, age and socio-economic status as important risk factors for infection [3].</w:t>
      </w:r>
    </w:p>
    <w:p w14:paraId="76F406C2" w14:textId="77777777" w:rsidR="00294F4C" w:rsidRDefault="00EA23E1">
      <w:pPr>
        <w:spacing w:line="240" w:lineRule="auto"/>
        <w:ind w:left="-142"/>
        <w:jc w:val="both"/>
        <w:rPr>
          <w:rFonts w:ascii="Times New Roman" w:hAnsi="Times New Roman" w:cs="Times New Roman"/>
          <w:sz w:val="24"/>
          <w:szCs w:val="24"/>
          <w:highlight w:val="yellow"/>
        </w:rPr>
      </w:pPr>
      <w:r>
        <w:rPr>
          <w:rFonts w:ascii="Times New Roman" w:hAnsi="Times New Roman" w:cs="Times New Roman"/>
          <w:sz w:val="24"/>
          <w:szCs w:val="24"/>
        </w:rPr>
        <w:t>Liver cancer continues to be among common cancers in the world, it is also the second most fatal one [4]. The best strategies to reduce the effects of cancer come from chemoprotec</w:t>
      </w:r>
      <w:r>
        <w:rPr>
          <w:rFonts w:ascii="Times New Roman" w:hAnsi="Times New Roman" w:cs="Times New Roman"/>
          <w:sz w:val="24"/>
          <w:szCs w:val="24"/>
        </w:rPr>
        <w:t>tion which is based on the use of natural dietary products and exogenous phytochemicals to enhance endogenous mechanisms against different stages of cancer development [5]. The main risk factors for liver cancer and hepatic carcinoma (HCC) worldwide are he</w:t>
      </w:r>
      <w:r>
        <w:rPr>
          <w:rFonts w:ascii="Times New Roman" w:hAnsi="Times New Roman" w:cs="Times New Roman"/>
          <w:sz w:val="24"/>
          <w:szCs w:val="24"/>
        </w:rPr>
        <w:t xml:space="preserve">patitis B and C viral infections, exposure to environmental carcinogens, alcohol abuse, and fatty liver </w:t>
      </w:r>
      <w:proofErr w:type="gramStart"/>
      <w:r>
        <w:rPr>
          <w:rFonts w:ascii="Times New Roman" w:hAnsi="Times New Roman" w:cs="Times New Roman"/>
          <w:sz w:val="24"/>
          <w:szCs w:val="24"/>
        </w:rPr>
        <w:t>disease[</w:t>
      </w:r>
      <w:proofErr w:type="gramEnd"/>
      <w:r>
        <w:rPr>
          <w:rFonts w:ascii="Times New Roman" w:hAnsi="Times New Roman" w:cs="Times New Roman"/>
          <w:sz w:val="24"/>
          <w:szCs w:val="24"/>
        </w:rPr>
        <w:t xml:space="preserve">6]. Many of recent landmarks in scientific research have shown that in human beings, oxidative stress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been implicated in the progression of</w:t>
      </w:r>
      <w:r>
        <w:rPr>
          <w:rFonts w:ascii="Times New Roman" w:hAnsi="Times New Roman" w:cs="Times New Roman"/>
          <w:sz w:val="24"/>
          <w:szCs w:val="24"/>
        </w:rPr>
        <w:t xml:space="preserve"> major health problems by inactivating the metabolic enzymes and damaging important cellular components [7], It is as a consequence of increase reactive oxygen species and decrease in antioxidant defenses prevalent in many health problem [8]. </w:t>
      </w:r>
      <w:r>
        <w:rPr>
          <w:rFonts w:ascii="Times New Roman" w:hAnsi="Times New Roman" w:cs="Times New Roman"/>
          <w:color w:val="000000"/>
          <w:sz w:val="24"/>
          <w:szCs w:val="24"/>
          <w:shd w:val="clear" w:color="auto" w:fill="FFFFFF"/>
        </w:rPr>
        <w:t xml:space="preserve">According to </w:t>
      </w:r>
      <w:r>
        <w:rPr>
          <w:rFonts w:ascii="Times New Roman" w:hAnsi="Times New Roman" w:cs="Times New Roman"/>
          <w:color w:val="000000"/>
          <w:sz w:val="24"/>
          <w:szCs w:val="24"/>
          <w:shd w:val="clear" w:color="auto" w:fill="FFFFFF"/>
        </w:rPr>
        <w:t xml:space="preserve">Sies oxidative stress is ‘a disturbance in the pro oxidant-antioxidant balances in </w:t>
      </w:r>
      <w:proofErr w:type="spellStart"/>
      <w:r>
        <w:rPr>
          <w:rFonts w:ascii="Times New Roman" w:hAnsi="Times New Roman" w:cs="Times New Roman"/>
          <w:color w:val="000000"/>
          <w:sz w:val="24"/>
          <w:szCs w:val="24"/>
          <w:shd w:val="clear" w:color="auto" w:fill="FFFFFF"/>
        </w:rPr>
        <w:t>favour</w:t>
      </w:r>
      <w:proofErr w:type="spellEnd"/>
      <w:r>
        <w:rPr>
          <w:rFonts w:ascii="Times New Roman" w:hAnsi="Times New Roman" w:cs="Times New Roman"/>
          <w:color w:val="000000"/>
          <w:sz w:val="24"/>
          <w:szCs w:val="24"/>
          <w:shd w:val="clear" w:color="auto" w:fill="FFFFFF"/>
        </w:rPr>
        <w:t xml:space="preserve"> of the former leading to serious damage’ [9].  Oxidative stress focuses the attention of worldwide researchers for its damaging effects on the human body. Although HB</w:t>
      </w:r>
      <w:r>
        <w:rPr>
          <w:rFonts w:ascii="Times New Roman" w:hAnsi="Times New Roman" w:cs="Times New Roman"/>
          <w:color w:val="000000"/>
          <w:sz w:val="24"/>
          <w:szCs w:val="24"/>
          <w:shd w:val="clear" w:color="auto" w:fill="FFFFFF"/>
        </w:rPr>
        <w:t xml:space="preserve">V causes hepatitis, it appears to be particularly effective at causing oxidative stress, implying that the virus has its own oxidative stress- inducing </w:t>
      </w:r>
      <w:proofErr w:type="gramStart"/>
      <w:r>
        <w:rPr>
          <w:rFonts w:ascii="Times New Roman" w:hAnsi="Times New Roman" w:cs="Times New Roman"/>
          <w:color w:val="000000"/>
          <w:sz w:val="24"/>
          <w:szCs w:val="24"/>
          <w:shd w:val="clear" w:color="auto" w:fill="FFFFFF"/>
        </w:rPr>
        <w:t>mechanism[</w:t>
      </w:r>
      <w:proofErr w:type="gramEnd"/>
      <w:r>
        <w:rPr>
          <w:rFonts w:ascii="Times New Roman" w:hAnsi="Times New Roman" w:cs="Times New Roman"/>
          <w:color w:val="000000"/>
          <w:sz w:val="24"/>
          <w:szCs w:val="24"/>
          <w:shd w:val="clear" w:color="auto" w:fill="FFFFFF"/>
        </w:rPr>
        <w:t>10].</w:t>
      </w:r>
    </w:p>
    <w:p w14:paraId="0AB4342B" w14:textId="77777777" w:rsidR="00294F4C" w:rsidRDefault="00EA23E1">
      <w:p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Herbal medicine is one of the oldest forms of medicine known to man and therefore could b</w:t>
      </w:r>
      <w:r>
        <w:rPr>
          <w:rFonts w:ascii="Times New Roman" w:hAnsi="Times New Roman" w:cs="Times New Roman"/>
          <w:sz w:val="24"/>
          <w:szCs w:val="24"/>
        </w:rPr>
        <w:t>e considered as one of the forerunners of modern pharmaceutical trade hence some modern drugs are synthesized from plants and plant derivatives [11].</w:t>
      </w:r>
    </w:p>
    <w:p w14:paraId="3E421A7B" w14:textId="77777777" w:rsidR="00294F4C" w:rsidRDefault="00EA23E1">
      <w:pPr>
        <w:spacing w:line="240" w:lineRule="auto"/>
        <w:ind w:left="-142"/>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Hepatitis does not have a permanent cure rather can be managed with the use of vaccines if not managed pro</w:t>
      </w:r>
      <w:r>
        <w:rPr>
          <w:rFonts w:ascii="Times New Roman" w:hAnsi="Times New Roman" w:cs="Times New Roman"/>
          <w:color w:val="000000"/>
          <w:sz w:val="24"/>
          <w:szCs w:val="24"/>
          <w:shd w:val="clear" w:color="auto" w:fill="FFFFFF"/>
        </w:rPr>
        <w:t xml:space="preserve">perly can cause serious liver damage, liver failure and cancer (cirrhosis). However, the role of antioxidant in liver infection has not been fully elucidated. There is therefore an urgent need to scientifically sort out indigenous herbs, spices, fruits or </w:t>
      </w:r>
      <w:r>
        <w:rPr>
          <w:rFonts w:ascii="Times New Roman" w:hAnsi="Times New Roman" w:cs="Times New Roman"/>
          <w:color w:val="000000"/>
          <w:sz w:val="24"/>
          <w:szCs w:val="24"/>
          <w:shd w:val="clear" w:color="auto" w:fill="FFFFFF"/>
        </w:rPr>
        <w:t>their combinations as antioxidants that can reduce the risk of liver infection.</w:t>
      </w:r>
    </w:p>
    <w:p w14:paraId="08FEB7C1" w14:textId="77777777" w:rsidR="00294F4C" w:rsidRDefault="00EA23E1">
      <w:pPr>
        <w:spacing w:line="240" w:lineRule="auto"/>
        <w:ind w:left="-142"/>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2</w:t>
      </w:r>
      <w:r>
        <w:rPr>
          <w:rFonts w:ascii="Times New Roman" w:hAnsi="Times New Roman" w:cs="Times New Roman"/>
          <w:color w:val="000000"/>
          <w:sz w:val="24"/>
          <w:szCs w:val="24"/>
          <w:shd w:val="clear" w:color="auto" w:fill="FFFFFF"/>
        </w:rPr>
        <w:t>.</w:t>
      </w:r>
      <w:r>
        <w:rPr>
          <w:rFonts w:ascii="Times New Roman" w:hAnsi="Times New Roman" w:cs="Times New Roman"/>
          <w:b/>
          <w:bCs/>
          <w:color w:val="000000"/>
          <w:sz w:val="24"/>
          <w:szCs w:val="24"/>
          <w:shd w:val="clear" w:color="auto" w:fill="FFFFFF"/>
        </w:rPr>
        <w:t xml:space="preserve"> Materials and methods</w:t>
      </w:r>
    </w:p>
    <w:p w14:paraId="2EDC1D23" w14:textId="77777777" w:rsidR="00294F4C" w:rsidRDefault="00EA23E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2.1 Study location</w:t>
      </w:r>
      <w:r>
        <w:rPr>
          <w:rFonts w:ascii="Times New Roman" w:hAnsi="Times New Roman" w:cs="Times New Roman"/>
          <w:sz w:val="24"/>
          <w:szCs w:val="24"/>
        </w:rPr>
        <w:t xml:space="preserve">: This study was carried out in the Department of Animal and Environmental Biology, Rivers State </w:t>
      </w:r>
      <w:proofErr w:type="spellStart"/>
      <w:proofErr w:type="gramStart"/>
      <w:r>
        <w:rPr>
          <w:rFonts w:ascii="Times New Roman" w:hAnsi="Times New Roman" w:cs="Times New Roman"/>
          <w:sz w:val="24"/>
          <w:szCs w:val="24"/>
        </w:rPr>
        <w:t>University,Nkpolu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Oroworukwo</w:t>
      </w:r>
      <w:proofErr w:type="spellEnd"/>
      <w:r>
        <w:rPr>
          <w:rFonts w:ascii="Times New Roman" w:hAnsi="Times New Roman" w:cs="Times New Roman"/>
          <w:sz w:val="24"/>
          <w:szCs w:val="24"/>
        </w:rPr>
        <w:t>, Port H</w:t>
      </w:r>
      <w:r>
        <w:rPr>
          <w:rFonts w:ascii="Times New Roman" w:hAnsi="Times New Roman" w:cs="Times New Roman"/>
          <w:sz w:val="24"/>
          <w:szCs w:val="24"/>
        </w:rPr>
        <w:t>arcourt from September 2021 to December  2021.</w:t>
      </w:r>
    </w:p>
    <w:p w14:paraId="4D56A021" w14:textId="77777777" w:rsidR="00294F4C" w:rsidRDefault="00EA23E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2.2 Animal care and management: </w:t>
      </w:r>
      <w:r>
        <w:rPr>
          <w:rFonts w:ascii="Times New Roman" w:hAnsi="Times New Roman" w:cs="Times New Roman"/>
          <w:sz w:val="24"/>
          <w:szCs w:val="24"/>
        </w:rPr>
        <w:t>Twenty- five (25) male mice of average weight 20.54±2.21g were obtained from the Department of Animal and Environmental Biology, Rivers State University animal house. Animals we</w:t>
      </w:r>
      <w:r>
        <w:rPr>
          <w:rFonts w:ascii="Times New Roman" w:hAnsi="Times New Roman" w:cs="Times New Roman"/>
          <w:sz w:val="24"/>
          <w:szCs w:val="24"/>
        </w:rPr>
        <w:t>re maintained under standard environmental condition (28-30</w:t>
      </w:r>
      <w:r>
        <w:rPr>
          <w:rFonts w:ascii="Times New Roman" w:hAnsi="Times New Roman" w:cs="Times New Roman"/>
          <w:sz w:val="24"/>
          <w:szCs w:val="24"/>
          <w:vertAlign w:val="superscript"/>
        </w:rPr>
        <w:t>O</w:t>
      </w:r>
      <w:r>
        <w:rPr>
          <w:rFonts w:ascii="Times New Roman" w:hAnsi="Times New Roman" w:cs="Times New Roman"/>
          <w:sz w:val="24"/>
          <w:szCs w:val="24"/>
        </w:rPr>
        <w:t xml:space="preserve">C, 60-70% relative humidity, 12-h dark / light cycle) clean cages with free </w:t>
      </w:r>
      <w:r>
        <w:rPr>
          <w:rFonts w:ascii="Times New Roman" w:hAnsi="Times New Roman" w:cs="Times New Roman"/>
          <w:sz w:val="24"/>
          <w:szCs w:val="24"/>
        </w:rPr>
        <w:lastRenderedPageBreak/>
        <w:t xml:space="preserve">access to standard rodent pellet and cool clean water </w:t>
      </w:r>
      <w:r>
        <w:rPr>
          <w:rFonts w:ascii="Times New Roman" w:hAnsi="Times New Roman" w:cs="Times New Roman"/>
          <w:i/>
          <w:sz w:val="24"/>
          <w:szCs w:val="24"/>
        </w:rPr>
        <w:t xml:space="preserve">ad libitum. </w:t>
      </w:r>
      <w:r>
        <w:rPr>
          <w:rFonts w:ascii="Times New Roman" w:hAnsi="Times New Roman" w:cs="Times New Roman"/>
          <w:sz w:val="24"/>
          <w:szCs w:val="24"/>
        </w:rPr>
        <w:t>They were left to acclimatize to laboratory conditions</w:t>
      </w:r>
      <w:r>
        <w:rPr>
          <w:rFonts w:ascii="Times New Roman" w:hAnsi="Times New Roman" w:cs="Times New Roman"/>
          <w:sz w:val="24"/>
          <w:szCs w:val="24"/>
        </w:rPr>
        <w:t xml:space="preserve"> for 14 days prior to commencement of the experiment. </w:t>
      </w:r>
    </w:p>
    <w:p w14:paraId="0F49F8B8" w14:textId="77777777" w:rsidR="00294F4C" w:rsidRDefault="00EA23E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2.3 </w:t>
      </w:r>
      <w:r>
        <w:rPr>
          <w:rFonts w:ascii="Times New Roman" w:hAnsi="Times New Roman" w:cs="Times New Roman"/>
          <w:b/>
          <w:i/>
          <w:sz w:val="24"/>
          <w:szCs w:val="24"/>
        </w:rPr>
        <w:t>Cocos nucifera</w:t>
      </w:r>
      <w:r>
        <w:rPr>
          <w:rFonts w:ascii="Times New Roman" w:hAnsi="Times New Roman" w:cs="Times New Roman"/>
          <w:b/>
          <w:sz w:val="24"/>
          <w:szCs w:val="24"/>
        </w:rPr>
        <w:t xml:space="preserve"> and </w:t>
      </w:r>
      <w:r>
        <w:rPr>
          <w:rFonts w:ascii="Times New Roman" w:hAnsi="Times New Roman" w:cs="Times New Roman"/>
          <w:b/>
          <w:i/>
          <w:sz w:val="24"/>
          <w:szCs w:val="24"/>
        </w:rPr>
        <w:t>Cyperus esculentus</w:t>
      </w:r>
      <w:r>
        <w:rPr>
          <w:rFonts w:ascii="Times New Roman" w:hAnsi="Times New Roman" w:cs="Times New Roman"/>
          <w:b/>
          <w:sz w:val="24"/>
          <w:szCs w:val="24"/>
        </w:rPr>
        <w:t xml:space="preserve"> extract: </w:t>
      </w:r>
      <w:r>
        <w:rPr>
          <w:rFonts w:ascii="Times New Roman" w:hAnsi="Times New Roman" w:cs="Times New Roman"/>
          <w:sz w:val="24"/>
          <w:szCs w:val="24"/>
        </w:rPr>
        <w:t xml:space="preserve">The fruits of </w:t>
      </w:r>
      <w:r>
        <w:rPr>
          <w:rFonts w:ascii="Times New Roman" w:hAnsi="Times New Roman" w:cs="Times New Roman"/>
          <w:i/>
          <w:sz w:val="24"/>
          <w:szCs w:val="24"/>
        </w:rPr>
        <w:t>Cocos nucifera</w:t>
      </w:r>
      <w:r>
        <w:rPr>
          <w:rFonts w:ascii="Times New Roman" w:hAnsi="Times New Roman" w:cs="Times New Roman"/>
          <w:b/>
          <w:sz w:val="24"/>
          <w:szCs w:val="24"/>
        </w:rPr>
        <w:t xml:space="preserve"> (c</w:t>
      </w:r>
      <w:r>
        <w:rPr>
          <w:rFonts w:ascii="Times New Roman" w:hAnsi="Times New Roman" w:cs="Times New Roman"/>
          <w:sz w:val="24"/>
          <w:szCs w:val="24"/>
        </w:rPr>
        <w:t xml:space="preserve">oconut) and </w:t>
      </w:r>
      <w:r>
        <w:rPr>
          <w:rFonts w:ascii="Times New Roman" w:hAnsi="Times New Roman" w:cs="Times New Roman"/>
          <w:i/>
          <w:iCs/>
          <w:sz w:val="24"/>
          <w:szCs w:val="24"/>
        </w:rPr>
        <w:t>Cyperus esculentus</w:t>
      </w:r>
      <w:r>
        <w:rPr>
          <w:rFonts w:ascii="Times New Roman" w:hAnsi="Times New Roman" w:cs="Times New Roman"/>
          <w:iCs/>
          <w:sz w:val="24"/>
          <w:szCs w:val="24"/>
        </w:rPr>
        <w:t xml:space="preserve"> (</w:t>
      </w:r>
      <w:r>
        <w:rPr>
          <w:rFonts w:ascii="Times New Roman" w:hAnsi="Times New Roman" w:cs="Times New Roman"/>
          <w:sz w:val="24"/>
          <w:szCs w:val="24"/>
        </w:rPr>
        <w:t>tiger nuts)</w:t>
      </w:r>
      <w:r>
        <w:rPr>
          <w:rFonts w:ascii="Times New Roman" w:hAnsi="Times New Roman" w:cs="Times New Roman"/>
          <w:iCs/>
          <w:sz w:val="24"/>
          <w:szCs w:val="24"/>
        </w:rPr>
        <w:t xml:space="preserve"> were </w:t>
      </w:r>
      <w:r>
        <w:rPr>
          <w:rFonts w:ascii="Times New Roman" w:hAnsi="Times New Roman" w:cs="Times New Roman"/>
          <w:sz w:val="24"/>
          <w:szCs w:val="24"/>
        </w:rPr>
        <w:t xml:space="preserve">purchased from local market in Port Harcourt Rivers State, Nigeria. </w:t>
      </w:r>
      <w:r>
        <w:rPr>
          <w:rFonts w:ascii="Times New Roman" w:hAnsi="Times New Roman" w:cs="Times New Roman"/>
          <w:sz w:val="24"/>
          <w:szCs w:val="24"/>
        </w:rPr>
        <w:t>The fruits were washed and macerated in water for aqueous extraction. The maceration process was repeated twice (for exhaustive extraction) to obtain a good yield of extracts. The extracts were concentrated and stored in a refrigerator at 4 ºC.</w:t>
      </w:r>
    </w:p>
    <w:p w14:paraId="23D75F72" w14:textId="77777777" w:rsidR="00294F4C" w:rsidRDefault="00EA23E1">
      <w:pPr>
        <w:spacing w:line="240" w:lineRule="auto"/>
        <w:jc w:val="both"/>
        <w:rPr>
          <w:rFonts w:ascii="Times New Roman" w:hAnsi="Times New Roman" w:cs="Times New Roman"/>
          <w:color w:val="000000"/>
          <w:sz w:val="24"/>
          <w:szCs w:val="24"/>
        </w:rPr>
      </w:pPr>
      <w:r>
        <w:rPr>
          <w:rFonts w:ascii="Times New Roman" w:hAnsi="Times New Roman" w:cs="Times New Roman"/>
          <w:b/>
          <w:sz w:val="24"/>
          <w:szCs w:val="24"/>
        </w:rPr>
        <w:t>2.4 Experim</w:t>
      </w:r>
      <w:r>
        <w:rPr>
          <w:rFonts w:ascii="Times New Roman" w:hAnsi="Times New Roman" w:cs="Times New Roman"/>
          <w:b/>
          <w:sz w:val="24"/>
          <w:szCs w:val="24"/>
        </w:rPr>
        <w:t xml:space="preserve">ental design: </w:t>
      </w:r>
      <w:r>
        <w:rPr>
          <w:rFonts w:ascii="Times New Roman" w:hAnsi="Times New Roman" w:cs="Times New Roman"/>
          <w:color w:val="000000"/>
          <w:sz w:val="24"/>
          <w:szCs w:val="24"/>
        </w:rPr>
        <w:t xml:space="preserve">Twenty-five (25) male mice were assigned to five groups (A-E) of 5 (five) mice each. Group (A) was the Negative control group and so received no treatment. Group B C, D, and </w:t>
      </w:r>
      <w:proofErr w:type="spellStart"/>
      <w:r>
        <w:rPr>
          <w:rFonts w:ascii="Times New Roman" w:hAnsi="Times New Roman" w:cs="Times New Roman"/>
          <w:color w:val="000000"/>
          <w:sz w:val="24"/>
          <w:szCs w:val="24"/>
        </w:rPr>
        <w:t>E</w:t>
      </w:r>
      <w:proofErr w:type="spellEnd"/>
      <w:r>
        <w:rPr>
          <w:rFonts w:ascii="Times New Roman" w:hAnsi="Times New Roman" w:cs="Times New Roman"/>
          <w:color w:val="000000"/>
          <w:sz w:val="24"/>
          <w:szCs w:val="24"/>
        </w:rPr>
        <w:t xml:space="preserve"> were infected with HBV virus according to the </w:t>
      </w:r>
      <w:proofErr w:type="gramStart"/>
      <w:r>
        <w:rPr>
          <w:rFonts w:ascii="Times New Roman" w:hAnsi="Times New Roman" w:cs="Times New Roman"/>
          <w:color w:val="000000"/>
          <w:sz w:val="24"/>
          <w:szCs w:val="24"/>
        </w:rPr>
        <w:t>method  [</w:t>
      </w:r>
      <w:proofErr w:type="gramEnd"/>
      <w:r>
        <w:rPr>
          <w:rFonts w:ascii="Times New Roman" w:hAnsi="Times New Roman" w:cs="Times New Roman"/>
          <w:color w:val="000000"/>
          <w:sz w:val="24"/>
          <w:szCs w:val="24"/>
        </w:rPr>
        <w:t>12]. And th</w:t>
      </w:r>
      <w:r>
        <w:rPr>
          <w:rFonts w:ascii="Times New Roman" w:hAnsi="Times New Roman" w:cs="Times New Roman"/>
          <w:color w:val="000000"/>
          <w:sz w:val="24"/>
          <w:szCs w:val="24"/>
        </w:rPr>
        <w:t xml:space="preserve">e infection was confirmed using Hepatitis B surface antigen (HBsAg) rapid kit.  Group B animals were administered 0.2ml of coconut extract, group C were </w:t>
      </w:r>
      <w:proofErr w:type="gramStart"/>
      <w:r>
        <w:rPr>
          <w:rFonts w:ascii="Times New Roman" w:hAnsi="Times New Roman" w:cs="Times New Roman"/>
          <w:color w:val="000000"/>
          <w:sz w:val="24"/>
          <w:szCs w:val="24"/>
        </w:rPr>
        <w:t>administered  0</w:t>
      </w:r>
      <w:proofErr w:type="gramEnd"/>
      <w:r>
        <w:rPr>
          <w:rFonts w:ascii="Times New Roman" w:hAnsi="Times New Roman" w:cs="Times New Roman"/>
          <w:color w:val="000000"/>
          <w:sz w:val="24"/>
          <w:szCs w:val="24"/>
        </w:rPr>
        <w:t xml:space="preserve">.2 ml of </w:t>
      </w:r>
      <w:r>
        <w:rPr>
          <w:rFonts w:ascii="Times New Roman" w:hAnsi="Times New Roman" w:cs="Times New Roman"/>
          <w:i/>
          <w:iCs/>
          <w:sz w:val="24"/>
          <w:szCs w:val="24"/>
        </w:rPr>
        <w:t xml:space="preserve">Cyperus esculentus </w:t>
      </w:r>
      <w:r>
        <w:rPr>
          <w:rFonts w:ascii="Times New Roman" w:hAnsi="Times New Roman" w:cs="Times New Roman"/>
          <w:color w:val="000000"/>
          <w:sz w:val="24"/>
          <w:szCs w:val="24"/>
        </w:rPr>
        <w:t>extract while group E were administered  0.2ml of equal prop</w:t>
      </w:r>
      <w:r>
        <w:rPr>
          <w:rFonts w:ascii="Times New Roman" w:hAnsi="Times New Roman" w:cs="Times New Roman"/>
          <w:color w:val="000000"/>
          <w:sz w:val="24"/>
          <w:szCs w:val="24"/>
        </w:rPr>
        <w:t xml:space="preserve">ortion of the two extract;  </w:t>
      </w:r>
      <w:r>
        <w:rPr>
          <w:rFonts w:ascii="Times New Roman" w:hAnsi="Times New Roman" w:cs="Times New Roman"/>
          <w:i/>
          <w:iCs/>
          <w:sz w:val="24"/>
          <w:szCs w:val="24"/>
        </w:rPr>
        <w:t xml:space="preserve">Cyperus esculentus </w:t>
      </w:r>
      <w:r>
        <w:rPr>
          <w:rFonts w:ascii="Times New Roman" w:hAnsi="Times New Roman" w:cs="Times New Roman"/>
          <w:color w:val="000000"/>
          <w:sz w:val="24"/>
          <w:szCs w:val="24"/>
        </w:rPr>
        <w:t xml:space="preserve">and </w:t>
      </w:r>
      <w:r>
        <w:rPr>
          <w:rFonts w:ascii="Times New Roman" w:hAnsi="Times New Roman" w:cs="Times New Roman"/>
          <w:i/>
          <w:sz w:val="24"/>
          <w:szCs w:val="24"/>
        </w:rPr>
        <w:t xml:space="preserve">Cocos nucifera </w:t>
      </w:r>
      <w:proofErr w:type="spellStart"/>
      <w:r>
        <w:rPr>
          <w:rFonts w:ascii="Times New Roman" w:hAnsi="Times New Roman" w:cs="Times New Roman"/>
          <w:color w:val="000000"/>
          <w:sz w:val="24"/>
          <w:szCs w:val="24"/>
        </w:rPr>
        <w:t>extract.All</w:t>
      </w:r>
      <w:proofErr w:type="spellEnd"/>
      <w:r>
        <w:rPr>
          <w:rFonts w:ascii="Times New Roman" w:hAnsi="Times New Roman" w:cs="Times New Roman"/>
          <w:color w:val="000000"/>
          <w:sz w:val="24"/>
          <w:szCs w:val="24"/>
        </w:rPr>
        <w:t xml:space="preserve"> the groups were exposed to their treatment for 14 days. All animals were observed daily for behavioral changes; signs of intoxication, mortality, morbidity as well as food and wa</w:t>
      </w:r>
      <w:r>
        <w:rPr>
          <w:rFonts w:ascii="Times New Roman" w:hAnsi="Times New Roman" w:cs="Times New Roman"/>
          <w:color w:val="000000"/>
          <w:sz w:val="24"/>
          <w:szCs w:val="24"/>
        </w:rPr>
        <w:t xml:space="preserve">ter intake. </w:t>
      </w:r>
    </w:p>
    <w:p w14:paraId="18755F86" w14:textId="77777777" w:rsidR="00294F4C" w:rsidRDefault="00EA23E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2.5 Collection of Blood: </w:t>
      </w:r>
      <w:r>
        <w:rPr>
          <w:rFonts w:ascii="Times New Roman" w:hAnsi="Times New Roman" w:cs="Times New Roman"/>
          <w:sz w:val="24"/>
          <w:szCs w:val="24"/>
        </w:rPr>
        <w:t xml:space="preserve">At the end of the exposure, Blood samples were collected by ocular puncture via heparinized capillary tubes into lithium heparinized bottles for analysis. </w:t>
      </w:r>
      <w:r>
        <w:rPr>
          <w:rFonts w:ascii="Times New Roman" w:eastAsia="sans-serif" w:hAnsi="Times New Roman" w:cs="Times New Roman"/>
          <w:sz w:val="24"/>
          <w:szCs w:val="24"/>
          <w:shd w:val="clear" w:color="auto" w:fill="FFFFFF"/>
        </w:rPr>
        <w:t xml:space="preserve">Plasma activities </w:t>
      </w:r>
      <w:proofErr w:type="gramStart"/>
      <w:r>
        <w:rPr>
          <w:rFonts w:ascii="Times New Roman" w:eastAsia="sans-serif" w:hAnsi="Times New Roman" w:cs="Times New Roman"/>
          <w:sz w:val="24"/>
          <w:szCs w:val="24"/>
          <w:shd w:val="clear" w:color="auto" w:fill="FFFFFF"/>
        </w:rPr>
        <w:t>of  GSH</w:t>
      </w:r>
      <w:proofErr w:type="gramEnd"/>
      <w:r>
        <w:rPr>
          <w:rFonts w:ascii="Times New Roman" w:eastAsia="sans-serif" w:hAnsi="Times New Roman" w:cs="Times New Roman"/>
          <w:sz w:val="24"/>
          <w:szCs w:val="24"/>
          <w:shd w:val="clear" w:color="auto" w:fill="FFFFFF"/>
        </w:rPr>
        <w:t xml:space="preserve"> was measured by the method of  [13], </w:t>
      </w:r>
      <w:r>
        <w:rPr>
          <w:rFonts w:ascii="Times New Roman" w:eastAsia="sans-serif" w:hAnsi="Times New Roman" w:cs="Times New Roman"/>
          <w:sz w:val="24"/>
          <w:szCs w:val="24"/>
          <w:shd w:val="clear" w:color="auto" w:fill="FFFFFF"/>
        </w:rPr>
        <w:t>superoxide dismutase (SOD)  determined using the method of  [14] and measured at 480nm. Catalase (CAT) was determined using direct colorimetric method of [15].</w:t>
      </w:r>
      <w:r>
        <w:rPr>
          <w:rFonts w:ascii="Times New Roman" w:hAnsi="Times New Roman" w:cs="Times New Roman"/>
          <w:iCs/>
          <w:sz w:val="24"/>
          <w:szCs w:val="24"/>
        </w:rPr>
        <w:t xml:space="preserve"> Data from </w:t>
      </w:r>
      <w:proofErr w:type="gramStart"/>
      <w:r>
        <w:rPr>
          <w:rFonts w:ascii="Times New Roman" w:hAnsi="Times New Roman" w:cs="Times New Roman"/>
          <w:iCs/>
          <w:sz w:val="24"/>
          <w:szCs w:val="24"/>
        </w:rPr>
        <w:t>analysis  were</w:t>
      </w:r>
      <w:proofErr w:type="gramEnd"/>
      <w:r>
        <w:rPr>
          <w:rFonts w:ascii="Times New Roman" w:hAnsi="Times New Roman" w:cs="Times New Roman"/>
          <w:iCs/>
          <w:sz w:val="24"/>
          <w:szCs w:val="24"/>
        </w:rPr>
        <w:t xml:space="preserve"> subjected to the one-way analysis of variance (ANOVA) and graphs produc</w:t>
      </w:r>
      <w:r>
        <w:rPr>
          <w:rFonts w:ascii="Times New Roman" w:hAnsi="Times New Roman" w:cs="Times New Roman"/>
          <w:iCs/>
          <w:sz w:val="24"/>
          <w:szCs w:val="24"/>
        </w:rPr>
        <w:t xml:space="preserve">ed using  Microsoft excel 365 </w:t>
      </w:r>
      <w:proofErr w:type="spellStart"/>
      <w:r>
        <w:rPr>
          <w:rFonts w:ascii="Times New Roman" w:hAnsi="Times New Roman" w:cs="Times New Roman"/>
          <w:iCs/>
          <w:sz w:val="24"/>
          <w:szCs w:val="24"/>
        </w:rPr>
        <w:t>software.</w:t>
      </w:r>
      <w:r>
        <w:rPr>
          <w:rFonts w:ascii="Times New Roman" w:eastAsia="sans-serif" w:hAnsi="Times New Roman" w:cs="Times New Roman"/>
          <w:sz w:val="24"/>
          <w:szCs w:val="24"/>
          <w:shd w:val="clear" w:color="auto" w:fill="FFFFFF"/>
        </w:rPr>
        <w:t>The</w:t>
      </w:r>
      <w:proofErr w:type="spellEnd"/>
      <w:r>
        <w:rPr>
          <w:rFonts w:ascii="Times New Roman" w:eastAsia="sans-serif" w:hAnsi="Times New Roman" w:cs="Times New Roman"/>
          <w:sz w:val="24"/>
          <w:szCs w:val="24"/>
          <w:shd w:val="clear" w:color="auto" w:fill="FFFFFF"/>
        </w:rPr>
        <w:t xml:space="preserve"> level of significance was taken at 95% confidence interval and P&lt;0.05 was considered.</w:t>
      </w:r>
    </w:p>
    <w:p w14:paraId="69DE599D" w14:textId="77777777" w:rsidR="00294F4C" w:rsidRDefault="00EA23E1">
      <w:pPr>
        <w:spacing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3. Results &amp; Discussion</w:t>
      </w:r>
    </w:p>
    <w:p w14:paraId="1220D63F" w14:textId="77777777" w:rsidR="00294F4C" w:rsidRDefault="00EA23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Glutathione (GSH) is shown in fig 1a. The level of GSH was 0.98±0.03umol/l in </w:t>
      </w:r>
      <w:r>
        <w:rPr>
          <w:rFonts w:ascii="Times New Roman" w:hAnsi="Times New Roman" w:cs="Times New Roman"/>
          <w:sz w:val="24"/>
          <w:szCs w:val="24"/>
        </w:rPr>
        <w:t>group A. A significant decrease to 0.72±0.12umol/</w:t>
      </w:r>
      <w:proofErr w:type="gramStart"/>
      <w:r>
        <w:rPr>
          <w:rFonts w:ascii="Times New Roman" w:hAnsi="Times New Roman" w:cs="Times New Roman"/>
          <w:sz w:val="24"/>
          <w:szCs w:val="24"/>
        </w:rPr>
        <w:t>l  was</w:t>
      </w:r>
      <w:proofErr w:type="gramEnd"/>
      <w:r>
        <w:rPr>
          <w:rFonts w:ascii="Times New Roman" w:hAnsi="Times New Roman" w:cs="Times New Roman"/>
          <w:sz w:val="24"/>
          <w:szCs w:val="24"/>
        </w:rPr>
        <w:t xml:space="preserve"> recorded in group B infected with HBV only.  Group C although infected with HBV was treated with </w:t>
      </w:r>
      <w:r>
        <w:rPr>
          <w:rFonts w:ascii="Times New Roman" w:hAnsi="Times New Roman" w:cs="Times New Roman"/>
          <w:i/>
          <w:sz w:val="24"/>
          <w:szCs w:val="24"/>
        </w:rPr>
        <w:t xml:space="preserve">Cocos nucifera </w:t>
      </w:r>
      <w:r>
        <w:rPr>
          <w:rFonts w:ascii="Times New Roman" w:hAnsi="Times New Roman" w:cs="Times New Roman"/>
          <w:sz w:val="24"/>
          <w:szCs w:val="24"/>
        </w:rPr>
        <w:t xml:space="preserve">extract. This extract significantly </w:t>
      </w:r>
      <w:proofErr w:type="gramStart"/>
      <w:r>
        <w:rPr>
          <w:rFonts w:ascii="Times New Roman" w:hAnsi="Times New Roman" w:cs="Times New Roman"/>
          <w:sz w:val="24"/>
          <w:szCs w:val="24"/>
        </w:rPr>
        <w:t>increase</w:t>
      </w:r>
      <w:proofErr w:type="gramEnd"/>
      <w:r>
        <w:rPr>
          <w:rFonts w:ascii="Times New Roman" w:hAnsi="Times New Roman" w:cs="Times New Roman"/>
          <w:sz w:val="24"/>
          <w:szCs w:val="24"/>
        </w:rPr>
        <w:t xml:space="preserve"> the level of GSH to 1.98±0.08umol/l.  A sig</w:t>
      </w:r>
      <w:r>
        <w:rPr>
          <w:rFonts w:ascii="Times New Roman" w:hAnsi="Times New Roman" w:cs="Times New Roman"/>
          <w:sz w:val="24"/>
          <w:szCs w:val="24"/>
        </w:rPr>
        <w:t xml:space="preserve">nificant increase in the level of GSH to 2.41±1.31umol/l was also recorded in group D infected with HBV but treated with </w:t>
      </w:r>
      <w:r>
        <w:rPr>
          <w:rFonts w:ascii="Times New Roman" w:hAnsi="Times New Roman" w:cs="Times New Roman"/>
          <w:i/>
          <w:sz w:val="24"/>
          <w:szCs w:val="24"/>
        </w:rPr>
        <w:t xml:space="preserve">Cyperus esculentus </w:t>
      </w:r>
      <w:r>
        <w:rPr>
          <w:rFonts w:ascii="Times New Roman" w:hAnsi="Times New Roman" w:cs="Times New Roman"/>
          <w:sz w:val="24"/>
          <w:szCs w:val="24"/>
        </w:rPr>
        <w:t>extract. A significant increase in the level of GSH to 2.52 ±0.13umol/l was also recorded in group E where the infec</w:t>
      </w:r>
      <w:r>
        <w:rPr>
          <w:rFonts w:ascii="Times New Roman" w:hAnsi="Times New Roman" w:cs="Times New Roman"/>
          <w:sz w:val="24"/>
          <w:szCs w:val="24"/>
        </w:rPr>
        <w:t>ted mice were treated with a combination of the two extract.</w:t>
      </w:r>
    </w:p>
    <w:p w14:paraId="10C7EC2E" w14:textId="77777777" w:rsidR="00294F4C" w:rsidRDefault="00EA23E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Fig 1b shows the concentration of Catalase (CAT) in the treatment groups. The concentration of CAT was 4.21±0.25umol/l in group A. This value was significantly (p&gt;0.05) reduced to 3.12±0.16umol/l</w:t>
      </w:r>
      <w:r>
        <w:rPr>
          <w:rFonts w:ascii="Times New Roman" w:hAnsi="Times New Roman" w:cs="Times New Roman"/>
          <w:sz w:val="24"/>
          <w:szCs w:val="24"/>
        </w:rPr>
        <w:t xml:space="preserve"> in group B. With the administration of the </w:t>
      </w:r>
      <w:r>
        <w:rPr>
          <w:rFonts w:ascii="Times New Roman" w:hAnsi="Times New Roman" w:cs="Times New Roman"/>
          <w:i/>
          <w:sz w:val="24"/>
          <w:szCs w:val="24"/>
        </w:rPr>
        <w:t xml:space="preserve">Cocos nucifera </w:t>
      </w:r>
      <w:r>
        <w:rPr>
          <w:rFonts w:ascii="Times New Roman" w:hAnsi="Times New Roman" w:cs="Times New Roman"/>
          <w:sz w:val="24"/>
          <w:szCs w:val="24"/>
        </w:rPr>
        <w:t xml:space="preserve">extract in group C, the value significantly increased to 4.96±0.03umol/l. More so, with the administration of </w:t>
      </w:r>
      <w:r>
        <w:rPr>
          <w:rFonts w:ascii="Times New Roman" w:hAnsi="Times New Roman" w:cs="Times New Roman"/>
          <w:i/>
          <w:sz w:val="24"/>
          <w:szCs w:val="24"/>
        </w:rPr>
        <w:t xml:space="preserve">Cyperus esculentus </w:t>
      </w:r>
      <w:r>
        <w:rPr>
          <w:rFonts w:ascii="Times New Roman" w:hAnsi="Times New Roman" w:cs="Times New Roman"/>
          <w:sz w:val="24"/>
          <w:szCs w:val="24"/>
        </w:rPr>
        <w:t xml:space="preserve">extract, the values also significantly increased to 5.01±0.22umol/l </w:t>
      </w:r>
      <w:r>
        <w:rPr>
          <w:rFonts w:ascii="Times New Roman" w:hAnsi="Times New Roman" w:cs="Times New Roman"/>
          <w:sz w:val="24"/>
          <w:szCs w:val="24"/>
        </w:rPr>
        <w:t>and 4.85 ±0.18umol/l with the combination of the two extracts compared to group B.</w:t>
      </w:r>
    </w:p>
    <w:p w14:paraId="60BC6A83" w14:textId="77777777" w:rsidR="00294F4C" w:rsidRDefault="00EA23E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concentration of superoxide dismutase SOD was 0.13±0.02umol/l in the group A as shown in fig 1c.  A significant decrease in value to 0.08±0.03umol/l was recorded in grou</w:t>
      </w:r>
      <w:r>
        <w:rPr>
          <w:rFonts w:ascii="Times New Roman" w:hAnsi="Times New Roman" w:cs="Times New Roman"/>
          <w:sz w:val="24"/>
          <w:szCs w:val="24"/>
        </w:rPr>
        <w:t xml:space="preserve">p B. With the </w:t>
      </w:r>
      <w:r>
        <w:rPr>
          <w:rFonts w:ascii="Times New Roman" w:hAnsi="Times New Roman" w:cs="Times New Roman"/>
          <w:i/>
          <w:sz w:val="24"/>
          <w:szCs w:val="24"/>
        </w:rPr>
        <w:t>Cocos nucifera</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extract,</w:t>
      </w:r>
      <w:r>
        <w:rPr>
          <w:rFonts w:ascii="Times New Roman" w:hAnsi="Times New Roman" w:cs="Times New Roman"/>
          <w:i/>
          <w:sz w:val="24"/>
          <w:szCs w:val="24"/>
        </w:rPr>
        <w:t>Cyperus</w:t>
      </w:r>
      <w:proofErr w:type="spellEnd"/>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esculentus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extract treatment and a combination of extracts in </w:t>
      </w:r>
      <w:r>
        <w:rPr>
          <w:rFonts w:ascii="Times New Roman" w:hAnsi="Times New Roman" w:cs="Times New Roman"/>
          <w:sz w:val="24"/>
          <w:szCs w:val="24"/>
        </w:rPr>
        <w:lastRenderedPageBreak/>
        <w:t>group E, these values significantly (p&gt;0.05) increased to 0.21±0.07umol/l, 0.34±0.21umol/l and 0.28±0.03umol/l respectively compared to group B</w:t>
      </w:r>
    </w:p>
    <w:p w14:paraId="374F2092" w14:textId="77777777" w:rsidR="00294F4C" w:rsidRDefault="00EA23E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Fig 1</w:t>
      </w:r>
      <w:r>
        <w:rPr>
          <w:rFonts w:ascii="Times New Roman" w:hAnsi="Times New Roman" w:cs="Times New Roman"/>
          <w:sz w:val="24"/>
          <w:szCs w:val="24"/>
        </w:rPr>
        <w:t xml:space="preserve">d shows the level of Malondialdehyde MDA to be markedly increased to 0.87±0.18µmol/l in group B compared to 0.52±0.12µmol/l in group A. This value was significantly reduced to 0.58±1.15µmol/l, 0.61±0.58µmol/l and 0.63±0.27µmol/l in groups treated </w:t>
      </w:r>
      <w:r>
        <w:rPr>
          <w:rFonts w:ascii="Times New Roman" w:hAnsi="Times New Roman" w:cs="Times New Roman"/>
          <w:i/>
          <w:sz w:val="24"/>
          <w:szCs w:val="24"/>
        </w:rPr>
        <w:t>Cocos nuc</w:t>
      </w:r>
      <w:r>
        <w:rPr>
          <w:rFonts w:ascii="Times New Roman" w:hAnsi="Times New Roman" w:cs="Times New Roman"/>
          <w:i/>
          <w:sz w:val="24"/>
          <w:szCs w:val="24"/>
        </w:rPr>
        <w:t xml:space="preserve">ifera </w:t>
      </w:r>
      <w:r>
        <w:rPr>
          <w:rFonts w:ascii="Times New Roman" w:hAnsi="Times New Roman" w:cs="Times New Roman"/>
          <w:sz w:val="24"/>
          <w:szCs w:val="24"/>
        </w:rPr>
        <w:t xml:space="preserve">extract, </w:t>
      </w:r>
      <w:r>
        <w:rPr>
          <w:rFonts w:ascii="Times New Roman" w:hAnsi="Times New Roman" w:cs="Times New Roman"/>
          <w:i/>
          <w:sz w:val="24"/>
          <w:szCs w:val="24"/>
        </w:rPr>
        <w:t xml:space="preserve">Cyperus esculentus </w:t>
      </w:r>
      <w:r>
        <w:rPr>
          <w:rFonts w:ascii="Times New Roman" w:hAnsi="Times New Roman" w:cs="Times New Roman"/>
          <w:sz w:val="24"/>
          <w:szCs w:val="24"/>
        </w:rPr>
        <w:t>extract and the combination of the two extracts respectively.</w:t>
      </w:r>
    </w:p>
    <w:p w14:paraId="71A159FA" w14:textId="77777777" w:rsidR="00294F4C" w:rsidRDefault="00294F4C">
      <w:pPr>
        <w:spacing w:line="240" w:lineRule="auto"/>
        <w:jc w:val="both"/>
        <w:rPr>
          <w:rFonts w:ascii="Times New Roman" w:hAnsi="Times New Roman" w:cs="Times New Roman"/>
          <w:sz w:val="24"/>
          <w:szCs w:val="24"/>
        </w:rPr>
      </w:pPr>
    </w:p>
    <w:p w14:paraId="5605BCF6" w14:textId="77777777" w:rsidR="00294F4C" w:rsidRDefault="00EA23E1">
      <w:pPr>
        <w:spacing w:before="240" w:line="240" w:lineRule="auto"/>
        <w:contextualSpacing/>
        <w:jc w:val="both"/>
        <w:rPr>
          <w:rFonts w:ascii="Times New Roman" w:hAnsi="Times New Roman" w:cs="Times New Roman"/>
          <w:b/>
          <w:bCs/>
          <w:sz w:val="24"/>
          <w:szCs w:val="24"/>
        </w:rPr>
      </w:pPr>
      <w:r>
        <w:rPr>
          <w:rFonts w:ascii="Times New Roman" w:hAnsi="Times New Roman" w:cs="Times New Roman"/>
          <w:sz w:val="24"/>
          <w:szCs w:val="24"/>
        </w:rPr>
        <w:pict w14:anchorId="1F585900">
          <v:shapetype id="_x0000_t202" coordsize="21600,21600" o:spt="202" path="m,l,21600r21600,l21600,xe">
            <v:stroke joinstyle="miter"/>
            <v:path gradientshapeok="t" o:connecttype="rect"/>
          </v:shapetype>
          <v:shape id="_x0000_s1027" type="#_x0000_t202" style="position:absolute;left:0;text-align:left;margin-left:241.8pt;margin-top:117.3pt;width:18.65pt;height:21.2pt;z-index:251657728;mso-width-relative:page;mso-height-relative:page" filled="f" stroked="f">
            <v:textbox>
              <w:txbxContent>
                <w:p w14:paraId="2D9D271C" w14:textId="77777777" w:rsidR="00294F4C" w:rsidRDefault="00EA23E1">
                  <w:pPr>
                    <w:rPr>
                      <w:b/>
                      <w:bCs/>
                      <w:sz w:val="20"/>
                      <w:szCs w:val="20"/>
                    </w:rPr>
                  </w:pPr>
                  <w:r>
                    <w:rPr>
                      <w:b/>
                      <w:bCs/>
                      <w:sz w:val="20"/>
                      <w:szCs w:val="20"/>
                    </w:rPr>
                    <w:t>b</w:t>
                  </w:r>
                </w:p>
              </w:txbxContent>
            </v:textbox>
          </v:shape>
        </w:pict>
      </w:r>
      <w:r>
        <w:rPr>
          <w:rFonts w:ascii="Times New Roman" w:hAnsi="Times New Roman" w:cs="Times New Roman"/>
          <w:sz w:val="24"/>
          <w:szCs w:val="24"/>
        </w:rPr>
        <w:pict w14:anchorId="1B5B130B">
          <v:shape id="_x0000_s1026" type="#_x0000_t202" style="position:absolute;left:0;text-align:left;margin-left:.85pt;margin-top:115.4pt;width:18.2pt;height:20.3pt;z-index:251656704;mso-width-relative:page;mso-height-relative:page" filled="f" stroked="f">
            <v:textbox>
              <w:txbxContent>
                <w:p w14:paraId="674BE2C0" w14:textId="77777777" w:rsidR="00294F4C" w:rsidRDefault="00EA23E1">
                  <w:pPr>
                    <w:rPr>
                      <w:b/>
                      <w:bCs/>
                      <w:sz w:val="20"/>
                      <w:szCs w:val="20"/>
                    </w:rPr>
                  </w:pPr>
                  <w:r>
                    <w:rPr>
                      <w:b/>
                      <w:bCs/>
                      <w:sz w:val="20"/>
                      <w:szCs w:val="20"/>
                    </w:rPr>
                    <w:t>a</w:t>
                  </w:r>
                </w:p>
              </w:txbxContent>
            </v:textbox>
          </v:shape>
        </w:pict>
      </w:r>
      <w:r>
        <w:rPr>
          <w:rFonts w:ascii="Times New Roman" w:hAnsi="Times New Roman" w:cs="Times New Roman"/>
          <w:noProof/>
          <w:sz w:val="24"/>
          <w:szCs w:val="24"/>
        </w:rPr>
        <w:drawing>
          <wp:inline distT="0" distB="0" distL="0" distR="0" wp14:anchorId="0FF64FC3" wp14:editId="775E993E">
            <wp:extent cx="2826385" cy="1725930"/>
            <wp:effectExtent l="5080" t="4445" r="18415" b="69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0329E294" wp14:editId="78E5EF66">
            <wp:extent cx="2726690" cy="1701165"/>
            <wp:effectExtent l="4445" t="4445" r="12065" b="165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2F0DFF" w14:textId="77777777" w:rsidR="00294F4C" w:rsidRDefault="00EA23E1">
      <w:pPr>
        <w:spacing w:before="24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Fig 1a. Concentration of Glutathione (GSH) in HBV </w:t>
      </w:r>
      <w:r>
        <w:rPr>
          <w:rFonts w:ascii="Times New Roman" w:hAnsi="Times New Roman" w:cs="Times New Roman"/>
          <w:sz w:val="24"/>
          <w:szCs w:val="24"/>
        </w:rPr>
        <w:tab/>
        <w:t xml:space="preserve">          Fig 1b. Concentration of Catalase (CAT) in HBV </w:t>
      </w:r>
    </w:p>
    <w:p w14:paraId="6938C74D" w14:textId="77777777" w:rsidR="00294F4C" w:rsidRDefault="00EA23E1">
      <w:pPr>
        <w:spacing w:before="24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infected mice in treatment </w:t>
      </w:r>
      <w:r>
        <w:rPr>
          <w:rFonts w:ascii="Times New Roman" w:hAnsi="Times New Roman" w:cs="Times New Roman"/>
          <w:sz w:val="24"/>
          <w:szCs w:val="24"/>
        </w:rPr>
        <w:t>groups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infected mice in treatment groups</w:t>
      </w:r>
    </w:p>
    <w:p w14:paraId="4242C2BE" w14:textId="77777777" w:rsidR="00294F4C" w:rsidRDefault="00EA23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8FDF7BD" w14:textId="77777777" w:rsidR="00CD2929" w:rsidRDefault="00CD2929">
      <w:pPr>
        <w:spacing w:line="240" w:lineRule="auto"/>
        <w:rPr>
          <w:rFonts w:ascii="Times New Roman" w:hAnsi="Times New Roman" w:cs="Times New Roman"/>
          <w:sz w:val="24"/>
          <w:szCs w:val="24"/>
        </w:rPr>
      </w:pPr>
      <w:bookmarkStart w:id="0" w:name="_GoBack"/>
      <w:bookmarkEnd w:id="0"/>
    </w:p>
    <w:p w14:paraId="681DA7B2" w14:textId="77777777" w:rsidR="00CD2929" w:rsidRDefault="00CD2929">
      <w:pPr>
        <w:spacing w:line="240" w:lineRule="auto"/>
        <w:rPr>
          <w:rFonts w:ascii="Times New Roman" w:hAnsi="Times New Roman" w:cs="Times New Roman"/>
          <w:sz w:val="24"/>
          <w:szCs w:val="24"/>
        </w:rPr>
      </w:pPr>
    </w:p>
    <w:p w14:paraId="1635D0D6" w14:textId="1215C470" w:rsidR="00294F4C" w:rsidRDefault="00EA23E1">
      <w:pPr>
        <w:spacing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5680" behindDoc="0" locked="0" layoutInCell="1" allowOverlap="1" wp14:anchorId="281E1FA2" wp14:editId="0EA8F868">
            <wp:simplePos x="0" y="0"/>
            <wp:positionH relativeFrom="column">
              <wp:posOffset>2931160</wp:posOffset>
            </wp:positionH>
            <wp:positionV relativeFrom="paragraph">
              <wp:posOffset>268605</wp:posOffset>
            </wp:positionV>
            <wp:extent cx="2771775" cy="1587500"/>
            <wp:effectExtent l="4445" t="4445" r="12700" b="825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999651B" w14:textId="77777777" w:rsidR="00294F4C" w:rsidRDefault="00EA23E1">
      <w:pPr>
        <w:spacing w:line="240" w:lineRule="auto"/>
        <w:rPr>
          <w:rFonts w:ascii="Times New Roman" w:hAnsi="Times New Roman" w:cs="Times New Roman"/>
          <w:sz w:val="24"/>
          <w:szCs w:val="24"/>
        </w:rPr>
      </w:pPr>
      <w:r>
        <w:rPr>
          <w:rFonts w:ascii="Times New Roman" w:hAnsi="Times New Roman" w:cs="Times New Roman"/>
          <w:sz w:val="24"/>
          <w:szCs w:val="24"/>
        </w:rPr>
        <w:pict w14:anchorId="55696BF1">
          <v:shape id="_x0000_s1029" type="#_x0000_t202" style="position:absolute;margin-left:235.15pt;margin-top:104.7pt;width:18.2pt;height:16.5pt;z-index:251658752;mso-width-relative:page;mso-height-relative:page" filled="f" stroked="f">
            <v:textbox>
              <w:txbxContent>
                <w:p w14:paraId="691D76FE" w14:textId="77777777" w:rsidR="00294F4C" w:rsidRDefault="00EA23E1">
                  <w:pPr>
                    <w:rPr>
                      <w:b/>
                      <w:bCs/>
                      <w:sz w:val="16"/>
                      <w:szCs w:val="16"/>
                    </w:rPr>
                  </w:pPr>
                  <w:r>
                    <w:rPr>
                      <w:b/>
                      <w:bCs/>
                      <w:sz w:val="16"/>
                      <w:szCs w:val="16"/>
                    </w:rPr>
                    <w:t>d</w:t>
                  </w:r>
                </w:p>
              </w:txbxContent>
            </v:textbox>
          </v:shape>
        </w:pict>
      </w:r>
      <w:r>
        <w:rPr>
          <w:rFonts w:ascii="Times New Roman" w:hAnsi="Times New Roman" w:cs="Times New Roman"/>
          <w:sz w:val="24"/>
          <w:szCs w:val="24"/>
        </w:rPr>
        <w:pict w14:anchorId="485ED856">
          <v:shape id="_x0000_s1028" type="#_x0000_t202" style="position:absolute;margin-left:3.2pt;margin-top:103.3pt;width:20.05pt;height:17.9pt;z-index:251659776;mso-width-relative:page;mso-height-relative:page" filled="f" stroked="f">
            <v:textbox>
              <w:txbxContent>
                <w:p w14:paraId="5F3AFECE" w14:textId="77777777" w:rsidR="00294F4C" w:rsidRDefault="00EA23E1">
                  <w:pPr>
                    <w:rPr>
                      <w:b/>
                      <w:bCs/>
                      <w:sz w:val="16"/>
                      <w:szCs w:val="16"/>
                    </w:rPr>
                  </w:pPr>
                  <w:r>
                    <w:rPr>
                      <w:b/>
                      <w:bCs/>
                      <w:sz w:val="16"/>
                      <w:szCs w:val="16"/>
                    </w:rPr>
                    <w:t>c</w:t>
                  </w:r>
                </w:p>
              </w:txbxContent>
            </v:textbox>
          </v:shape>
        </w:pict>
      </w:r>
      <w:r>
        <w:rPr>
          <w:rFonts w:ascii="Times New Roman" w:hAnsi="Times New Roman" w:cs="Times New Roman"/>
          <w:noProof/>
          <w:sz w:val="24"/>
          <w:szCs w:val="24"/>
        </w:rPr>
        <w:drawing>
          <wp:inline distT="0" distB="0" distL="0" distR="0" wp14:anchorId="799E48A2" wp14:editId="4855768C">
            <wp:extent cx="2764790" cy="1548765"/>
            <wp:effectExtent l="4445" t="5080" r="19685" b="158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C87B98" w14:textId="464CAE98" w:rsidR="00294F4C" w:rsidRDefault="00EA23E1">
      <w:pPr>
        <w:spacing w:before="24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Fig 1c. Concentration of Superoxide </w:t>
      </w:r>
      <w:proofErr w:type="gramStart"/>
      <w:r>
        <w:rPr>
          <w:rFonts w:ascii="Times New Roman" w:hAnsi="Times New Roman" w:cs="Times New Roman"/>
          <w:sz w:val="24"/>
          <w:szCs w:val="24"/>
        </w:rPr>
        <w:t>dismutase(</w:t>
      </w:r>
      <w:proofErr w:type="gramEnd"/>
      <w:r>
        <w:rPr>
          <w:rFonts w:ascii="Times New Roman" w:hAnsi="Times New Roman" w:cs="Times New Roman"/>
          <w:sz w:val="24"/>
          <w:szCs w:val="24"/>
        </w:rPr>
        <w:t xml:space="preserve">SOD)    Fig 1d. Concentration of Malondialdehyde(MDA) </w:t>
      </w:r>
    </w:p>
    <w:p w14:paraId="323A7EAA" w14:textId="3A8889C2" w:rsidR="00294F4C" w:rsidRDefault="00EA23E1">
      <w:pPr>
        <w:spacing w:before="240" w:line="240" w:lineRule="auto"/>
        <w:contextualSpacing/>
        <w:jc w:val="both"/>
        <w:rPr>
          <w:rFonts w:ascii="Times New Roman" w:hAnsi="Times New Roman" w:cs="Times New Roman"/>
          <w:b/>
          <w:bCs/>
          <w:sz w:val="24"/>
          <w:szCs w:val="24"/>
        </w:rPr>
      </w:pPr>
      <w:r>
        <w:rPr>
          <w:rFonts w:ascii="Times New Roman" w:hAnsi="Times New Roman" w:cs="Times New Roman"/>
          <w:sz w:val="24"/>
          <w:szCs w:val="24"/>
        </w:rPr>
        <w:t>in HBV infected mice in treatment groups                 in HBV infected mic</w:t>
      </w:r>
      <w:r>
        <w:rPr>
          <w:rFonts w:ascii="Times New Roman" w:hAnsi="Times New Roman" w:cs="Times New Roman"/>
          <w:sz w:val="24"/>
          <w:szCs w:val="24"/>
        </w:rPr>
        <w:t xml:space="preserve">e in </w:t>
      </w:r>
      <w:r w:rsidR="00CD2929">
        <w:rPr>
          <w:rFonts w:ascii="Times New Roman" w:hAnsi="Times New Roman" w:cs="Times New Roman"/>
          <w:sz w:val="24"/>
          <w:szCs w:val="24"/>
        </w:rPr>
        <w:t xml:space="preserve">treatment groups                              </w:t>
      </w:r>
    </w:p>
    <w:p w14:paraId="091A10C2" w14:textId="77777777" w:rsidR="00294F4C" w:rsidRDefault="00294F4C">
      <w:pPr>
        <w:spacing w:after="0" w:line="240" w:lineRule="auto"/>
        <w:rPr>
          <w:rFonts w:ascii="Times New Roman" w:hAnsi="Times New Roman" w:cs="Times New Roman"/>
          <w:sz w:val="24"/>
          <w:szCs w:val="24"/>
        </w:rPr>
      </w:pPr>
    </w:p>
    <w:p w14:paraId="4801A384" w14:textId="77777777" w:rsidR="00294F4C" w:rsidRDefault="00EA23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Oxidative stress emerges when an imbalance exists between free radical formation and the capability of cells to clear them. It has been implicated in many pathological processes and results from a </w:t>
      </w:r>
      <w:r>
        <w:rPr>
          <w:rFonts w:ascii="Times New Roman" w:hAnsi="Times New Roman" w:cs="Times New Roman"/>
          <w:sz w:val="24"/>
          <w:szCs w:val="24"/>
        </w:rPr>
        <w:t>disruption of the antioxidant balance. Oxidative stress contributes to the pathogenesis of many liver diseases.</w:t>
      </w:r>
    </w:p>
    <w:p w14:paraId="01EACBE9" w14:textId="77777777" w:rsidR="00294F4C" w:rsidRDefault="00EA23E1">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this study, there was a significant (P=0.05) decrease in the levels of SOD, GSH, CAT in group B mice infected with HBV without any form of </w:t>
      </w:r>
      <w:r>
        <w:rPr>
          <w:rFonts w:ascii="Times New Roman" w:hAnsi="Times New Roman" w:cs="Times New Roman"/>
          <w:sz w:val="24"/>
          <w:szCs w:val="24"/>
        </w:rPr>
        <w:t xml:space="preserve">treatment </w:t>
      </w:r>
      <w:proofErr w:type="gramStart"/>
      <w:r>
        <w:rPr>
          <w:rFonts w:ascii="Times New Roman" w:hAnsi="Times New Roman" w:cs="Times New Roman"/>
          <w:sz w:val="24"/>
          <w:szCs w:val="24"/>
        </w:rPr>
        <w:t>and  a</w:t>
      </w:r>
      <w:proofErr w:type="gramEnd"/>
      <w:r>
        <w:rPr>
          <w:rFonts w:ascii="Times New Roman" w:hAnsi="Times New Roman" w:cs="Times New Roman"/>
          <w:sz w:val="24"/>
          <w:szCs w:val="24"/>
        </w:rPr>
        <w:t xml:space="preserve"> significant increase in the level of MDA in the same group.  However, with the coadministration of </w:t>
      </w:r>
      <w:r>
        <w:rPr>
          <w:rFonts w:ascii="Times New Roman" w:hAnsi="Times New Roman" w:cs="Times New Roman"/>
          <w:i/>
          <w:sz w:val="24"/>
          <w:szCs w:val="24"/>
        </w:rPr>
        <w:t xml:space="preserve">Cocos nucifera </w:t>
      </w:r>
      <w:r>
        <w:rPr>
          <w:rFonts w:ascii="Times New Roman" w:hAnsi="Times New Roman" w:cs="Times New Roman"/>
          <w:sz w:val="24"/>
          <w:szCs w:val="24"/>
        </w:rPr>
        <w:t xml:space="preserve">extract in group C, </w:t>
      </w:r>
      <w:r>
        <w:rPr>
          <w:rFonts w:ascii="Times New Roman" w:hAnsi="Times New Roman" w:cs="Times New Roman"/>
          <w:i/>
          <w:sz w:val="24"/>
          <w:szCs w:val="24"/>
        </w:rPr>
        <w:t xml:space="preserve">Cyperus esculentus </w:t>
      </w:r>
      <w:r>
        <w:rPr>
          <w:rFonts w:ascii="Times New Roman" w:hAnsi="Times New Roman" w:cs="Times New Roman"/>
          <w:sz w:val="24"/>
          <w:szCs w:val="24"/>
        </w:rPr>
        <w:t>extract in group D and combination of extracts in group E, there was a significant inc</w:t>
      </w:r>
      <w:r>
        <w:rPr>
          <w:rFonts w:ascii="Times New Roman" w:hAnsi="Times New Roman" w:cs="Times New Roman"/>
          <w:sz w:val="24"/>
          <w:szCs w:val="24"/>
        </w:rPr>
        <w:t>rease in all these biomarkers but a significant decrease in MDA compared with group B.</w:t>
      </w:r>
    </w:p>
    <w:p w14:paraId="279D4BAA" w14:textId="77777777" w:rsidR="00294F4C" w:rsidRDefault="00EA23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It therefore appears that </w:t>
      </w:r>
      <w:r>
        <w:rPr>
          <w:rFonts w:ascii="Times New Roman" w:hAnsi="Times New Roman" w:cs="Times New Roman"/>
          <w:i/>
          <w:sz w:val="24"/>
          <w:szCs w:val="24"/>
        </w:rPr>
        <w:t xml:space="preserve">Cyperus esculentus </w:t>
      </w:r>
      <w:r>
        <w:rPr>
          <w:rFonts w:ascii="Times New Roman" w:hAnsi="Times New Roman" w:cs="Times New Roman"/>
          <w:sz w:val="24"/>
          <w:szCs w:val="24"/>
        </w:rPr>
        <w:t xml:space="preserve">extract offered a higher protective effect in HBV infected mice when compared to </w:t>
      </w:r>
      <w:r>
        <w:rPr>
          <w:rFonts w:ascii="Times New Roman" w:hAnsi="Times New Roman" w:cs="Times New Roman"/>
          <w:i/>
          <w:sz w:val="24"/>
          <w:szCs w:val="24"/>
        </w:rPr>
        <w:t xml:space="preserve">Cocos nucifera </w:t>
      </w:r>
      <w:r>
        <w:rPr>
          <w:rFonts w:ascii="Times New Roman" w:hAnsi="Times New Roman" w:cs="Times New Roman"/>
          <w:sz w:val="24"/>
          <w:szCs w:val="24"/>
        </w:rPr>
        <w:t xml:space="preserve">extract or the combination of the extracts. It may seem as there is an antagonistic effect of the two extracts when combined. </w:t>
      </w:r>
    </w:p>
    <w:p w14:paraId="586C7E11" w14:textId="77777777" w:rsidR="00294F4C" w:rsidRDefault="00EA23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GSH is one of the most important free radical </w:t>
      </w:r>
      <w:proofErr w:type="gramStart"/>
      <w:r>
        <w:rPr>
          <w:rFonts w:ascii="Times New Roman" w:hAnsi="Times New Roman" w:cs="Times New Roman"/>
          <w:sz w:val="24"/>
          <w:szCs w:val="24"/>
        </w:rPr>
        <w:t>scavenger</w:t>
      </w:r>
      <w:proofErr w:type="gramEnd"/>
      <w:r>
        <w:rPr>
          <w:rFonts w:ascii="Times New Roman" w:hAnsi="Times New Roman" w:cs="Times New Roman"/>
          <w:sz w:val="24"/>
          <w:szCs w:val="24"/>
        </w:rPr>
        <w:t xml:space="preserve"> which plays a significant role in cell physiology. Its significant reduct</w:t>
      </w:r>
      <w:r>
        <w:rPr>
          <w:rFonts w:ascii="Times New Roman" w:hAnsi="Times New Roman" w:cs="Times New Roman"/>
          <w:sz w:val="24"/>
          <w:szCs w:val="24"/>
        </w:rPr>
        <w:t xml:space="preserve">ion shows an increased oxidative stress in HBV infected mice. This agrees </w:t>
      </w:r>
      <w:proofErr w:type="gramStart"/>
      <w:r>
        <w:rPr>
          <w:rFonts w:ascii="Times New Roman" w:hAnsi="Times New Roman" w:cs="Times New Roman"/>
          <w:sz w:val="24"/>
          <w:szCs w:val="24"/>
        </w:rPr>
        <w:t>with  [</w:t>
      </w:r>
      <w:proofErr w:type="gramEnd"/>
      <w:r>
        <w:rPr>
          <w:rFonts w:ascii="Times New Roman" w:hAnsi="Times New Roman" w:cs="Times New Roman"/>
          <w:sz w:val="24"/>
          <w:szCs w:val="24"/>
        </w:rPr>
        <w:t>16] who reported oxidative stress and cell death associated with decreased levels of GSH in HBV infected mice within 24hours.  [17] also reported an increase in MDA and transa</w:t>
      </w:r>
      <w:r>
        <w:rPr>
          <w:rFonts w:ascii="Times New Roman" w:hAnsi="Times New Roman" w:cs="Times New Roman"/>
          <w:sz w:val="24"/>
          <w:szCs w:val="24"/>
        </w:rPr>
        <w:t xml:space="preserve">minase levels in plasma of chronic HBV patients and diminished levels of GSH. It should be noted that HBV replication usually stimulate oxidative stress and subsequently increased MDA levels. However, concerning </w:t>
      </w:r>
      <w:proofErr w:type="gramStart"/>
      <w:r>
        <w:rPr>
          <w:rFonts w:ascii="Times New Roman" w:hAnsi="Times New Roman" w:cs="Times New Roman"/>
          <w:sz w:val="24"/>
          <w:szCs w:val="24"/>
        </w:rPr>
        <w:t>plant based</w:t>
      </w:r>
      <w:proofErr w:type="gramEnd"/>
      <w:r>
        <w:rPr>
          <w:rFonts w:ascii="Times New Roman" w:hAnsi="Times New Roman" w:cs="Times New Roman"/>
          <w:sz w:val="24"/>
          <w:szCs w:val="24"/>
        </w:rPr>
        <w:t xml:space="preserve"> products, </w:t>
      </w:r>
      <w:r>
        <w:rPr>
          <w:rFonts w:ascii="Times New Roman" w:hAnsi="Times New Roman" w:cs="Times New Roman"/>
          <w:i/>
          <w:sz w:val="24"/>
          <w:szCs w:val="24"/>
        </w:rPr>
        <w:t xml:space="preserve">Cocos nucifera </w:t>
      </w:r>
      <w:r>
        <w:rPr>
          <w:rFonts w:ascii="Times New Roman" w:hAnsi="Times New Roman" w:cs="Times New Roman"/>
          <w:sz w:val="24"/>
          <w:szCs w:val="24"/>
        </w:rPr>
        <w:t>extract</w:t>
      </w:r>
      <w:r>
        <w:rPr>
          <w:rFonts w:ascii="Times New Roman" w:hAnsi="Times New Roman" w:cs="Times New Roman"/>
          <w:sz w:val="24"/>
          <w:szCs w:val="24"/>
        </w:rPr>
        <w:t xml:space="preserve"> and </w:t>
      </w:r>
      <w:r>
        <w:rPr>
          <w:rFonts w:ascii="Times New Roman" w:hAnsi="Times New Roman" w:cs="Times New Roman"/>
          <w:i/>
          <w:sz w:val="24"/>
          <w:szCs w:val="24"/>
        </w:rPr>
        <w:t xml:space="preserve">Cyperus esculentus </w:t>
      </w:r>
      <w:r>
        <w:rPr>
          <w:rFonts w:ascii="Times New Roman" w:hAnsi="Times New Roman" w:cs="Times New Roman"/>
          <w:sz w:val="24"/>
          <w:szCs w:val="24"/>
        </w:rPr>
        <w:t>extract has shown to possess strong therapeutic and antioxidant capabilities against liver damage and injuries. This is supported by [18</w:t>
      </w:r>
      <w:proofErr w:type="gramStart"/>
      <w:r>
        <w:rPr>
          <w:rFonts w:ascii="Times New Roman" w:hAnsi="Times New Roman" w:cs="Times New Roman"/>
          <w:sz w:val="24"/>
          <w:szCs w:val="24"/>
        </w:rPr>
        <w:t>]  who</w:t>
      </w:r>
      <w:proofErr w:type="gramEnd"/>
      <w:r>
        <w:rPr>
          <w:rFonts w:ascii="Times New Roman" w:hAnsi="Times New Roman" w:cs="Times New Roman"/>
          <w:sz w:val="24"/>
          <w:szCs w:val="24"/>
        </w:rPr>
        <w:t xml:space="preserve"> revealed that </w:t>
      </w:r>
      <w:proofErr w:type="spellStart"/>
      <w:r>
        <w:rPr>
          <w:rFonts w:ascii="Times New Roman" w:hAnsi="Times New Roman" w:cs="Times New Roman"/>
          <w:i/>
          <w:sz w:val="24"/>
          <w:szCs w:val="24"/>
        </w:rPr>
        <w:t>Hypericium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perforatum</w:t>
      </w:r>
      <w:proofErr w:type="spellEnd"/>
      <w:r>
        <w:rPr>
          <w:rFonts w:ascii="Times New Roman" w:hAnsi="Times New Roman" w:cs="Times New Roman"/>
          <w:sz w:val="24"/>
          <w:szCs w:val="24"/>
        </w:rPr>
        <w:t xml:space="preserve"> extract showed antioxidant properties and significant</w:t>
      </w:r>
      <w:r>
        <w:rPr>
          <w:rFonts w:ascii="Times New Roman" w:hAnsi="Times New Roman" w:cs="Times New Roman"/>
          <w:sz w:val="24"/>
          <w:szCs w:val="24"/>
        </w:rPr>
        <w:t xml:space="preserve">ly decreased hepatic damage markers such as ALT,AST, MDA but markedly increased CAT in HBV infected mice.  Moreso, [19,20] revealed processed </w:t>
      </w:r>
      <w:r>
        <w:rPr>
          <w:rFonts w:ascii="Times New Roman" w:hAnsi="Times New Roman" w:cs="Times New Roman"/>
          <w:i/>
          <w:iCs/>
          <w:sz w:val="24"/>
          <w:szCs w:val="24"/>
        </w:rPr>
        <w:t xml:space="preserve">Solanum </w:t>
      </w:r>
      <w:proofErr w:type="spellStart"/>
      <w:r>
        <w:rPr>
          <w:rFonts w:ascii="Times New Roman" w:hAnsi="Times New Roman" w:cs="Times New Roman"/>
          <w:i/>
          <w:iCs/>
          <w:sz w:val="24"/>
          <w:szCs w:val="24"/>
        </w:rPr>
        <w:t>lycopersicum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some local spices, possessing antioxidant capability, providing a boost for healing against </w:t>
      </w:r>
      <w:r>
        <w:rPr>
          <w:rFonts w:ascii="Times New Roman" w:hAnsi="Times New Roman" w:cs="Times New Roman"/>
          <w:sz w:val="24"/>
          <w:szCs w:val="24"/>
        </w:rPr>
        <w:t>insecticides-induced hepatotoxicity. [21</w:t>
      </w:r>
      <w:proofErr w:type="gramStart"/>
      <w:r>
        <w:rPr>
          <w:rFonts w:ascii="Times New Roman" w:hAnsi="Times New Roman" w:cs="Times New Roman"/>
          <w:sz w:val="24"/>
          <w:szCs w:val="24"/>
        </w:rPr>
        <w:t>]  also</w:t>
      </w:r>
      <w:proofErr w:type="gramEnd"/>
      <w:r>
        <w:rPr>
          <w:rFonts w:ascii="Times New Roman" w:hAnsi="Times New Roman" w:cs="Times New Roman"/>
          <w:sz w:val="24"/>
          <w:szCs w:val="24"/>
        </w:rPr>
        <w:t xml:space="preserve"> revealed  that</w:t>
      </w:r>
      <w:r>
        <w:rPr>
          <w:rFonts w:ascii="Times New Roman" w:eastAsia="Cambria" w:hAnsi="Times New Roman" w:cs="Times New Roman"/>
          <w:color w:val="1B1B1B"/>
          <w:sz w:val="24"/>
          <w:szCs w:val="24"/>
          <w:shd w:val="clear" w:color="auto" w:fill="FFFFFF"/>
        </w:rPr>
        <w:t xml:space="preserve"> preoperative administration of a single dose of </w:t>
      </w:r>
      <w:proofErr w:type="spellStart"/>
      <w:r>
        <w:rPr>
          <w:rFonts w:ascii="Times New Roman" w:eastAsia="Cambria" w:hAnsi="Times New Roman" w:cs="Times New Roman"/>
          <w:color w:val="1B1B1B"/>
          <w:sz w:val="24"/>
          <w:szCs w:val="24"/>
          <w:shd w:val="clear" w:color="auto" w:fill="FFFFFF"/>
        </w:rPr>
        <w:t>amifostine</w:t>
      </w:r>
      <w:proofErr w:type="spellEnd"/>
      <w:r>
        <w:rPr>
          <w:rFonts w:ascii="Times New Roman" w:eastAsia="Cambria" w:hAnsi="Times New Roman" w:cs="Times New Roman"/>
          <w:color w:val="1B1B1B"/>
          <w:sz w:val="24"/>
          <w:szCs w:val="24"/>
          <w:shd w:val="clear" w:color="auto" w:fill="FFFFFF"/>
        </w:rPr>
        <w:t>, an antioxidant is sufficient to minimize the preservation damage in hepatic cells.</w:t>
      </w:r>
      <w:r>
        <w:rPr>
          <w:rFonts w:ascii="Times New Roman" w:hAnsi="Times New Roman" w:cs="Times New Roman"/>
          <w:sz w:val="24"/>
          <w:szCs w:val="24"/>
        </w:rPr>
        <w:t xml:space="preserve"> </w:t>
      </w:r>
    </w:p>
    <w:p w14:paraId="552D43B1" w14:textId="77777777" w:rsidR="00294F4C" w:rsidRDefault="00EA23E1">
      <w:pPr>
        <w:spacing w:line="24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448ABE42" w14:textId="77777777" w:rsidR="00294F4C" w:rsidRDefault="00EA23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w:t>
      </w:r>
      <w:proofErr w:type="gramStart"/>
      <w:r>
        <w:rPr>
          <w:rFonts w:ascii="Times New Roman" w:hAnsi="Times New Roman" w:cs="Times New Roman"/>
          <w:sz w:val="24"/>
          <w:szCs w:val="24"/>
        </w:rPr>
        <w:t>concluded  that</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Cocos nucifera </w:t>
      </w:r>
      <w:r>
        <w:rPr>
          <w:rFonts w:ascii="Times New Roman" w:hAnsi="Times New Roman" w:cs="Times New Roman"/>
          <w:sz w:val="24"/>
          <w:szCs w:val="24"/>
        </w:rPr>
        <w:t>e</w:t>
      </w:r>
      <w:r>
        <w:rPr>
          <w:rFonts w:ascii="Times New Roman" w:hAnsi="Times New Roman" w:cs="Times New Roman"/>
          <w:sz w:val="24"/>
          <w:szCs w:val="24"/>
        </w:rPr>
        <w:t xml:space="preserve">xtract and </w:t>
      </w:r>
      <w:r>
        <w:rPr>
          <w:rFonts w:ascii="Times New Roman" w:hAnsi="Times New Roman" w:cs="Times New Roman"/>
          <w:i/>
          <w:sz w:val="24"/>
          <w:szCs w:val="24"/>
        </w:rPr>
        <w:t xml:space="preserve">Cyperus esculentus </w:t>
      </w:r>
      <w:r>
        <w:rPr>
          <w:rFonts w:ascii="Times New Roman" w:hAnsi="Times New Roman" w:cs="Times New Roman"/>
          <w:sz w:val="24"/>
          <w:szCs w:val="24"/>
        </w:rPr>
        <w:t xml:space="preserve">extract has demonstrated to be a suitable contribution to the therapy of many hepatic infection. For these extracts to be used as an antioxidant against hepatic infection, the level of efficacy increases from </w:t>
      </w:r>
      <w:r>
        <w:rPr>
          <w:rFonts w:ascii="Times New Roman" w:hAnsi="Times New Roman" w:cs="Times New Roman"/>
          <w:i/>
          <w:sz w:val="24"/>
          <w:szCs w:val="24"/>
        </w:rPr>
        <w:t>Cyperus esculentu</w:t>
      </w:r>
      <w:r>
        <w:rPr>
          <w:rFonts w:ascii="Times New Roman" w:hAnsi="Times New Roman" w:cs="Times New Roman"/>
          <w:i/>
          <w:sz w:val="24"/>
          <w:szCs w:val="24"/>
        </w:rPr>
        <w:t xml:space="preserve">s </w:t>
      </w:r>
      <w:r>
        <w:rPr>
          <w:rFonts w:ascii="Times New Roman" w:hAnsi="Times New Roman" w:cs="Times New Roman"/>
          <w:sz w:val="24"/>
          <w:szCs w:val="24"/>
        </w:rPr>
        <w:t>extract &gt;</w:t>
      </w:r>
      <w:r>
        <w:rPr>
          <w:rFonts w:ascii="Times New Roman" w:hAnsi="Times New Roman" w:cs="Times New Roman"/>
          <w:i/>
          <w:sz w:val="24"/>
          <w:szCs w:val="24"/>
        </w:rPr>
        <w:t xml:space="preserve">Cocos nucifera </w:t>
      </w:r>
      <w:r>
        <w:rPr>
          <w:rFonts w:ascii="Times New Roman" w:hAnsi="Times New Roman" w:cs="Times New Roman"/>
          <w:sz w:val="24"/>
          <w:szCs w:val="24"/>
        </w:rPr>
        <w:t xml:space="preserve">extract + </w:t>
      </w:r>
      <w:r>
        <w:rPr>
          <w:rFonts w:ascii="Times New Roman" w:hAnsi="Times New Roman" w:cs="Times New Roman"/>
          <w:i/>
          <w:sz w:val="24"/>
          <w:szCs w:val="24"/>
        </w:rPr>
        <w:t xml:space="preserve">Cyperus esculentus </w:t>
      </w:r>
      <w:r>
        <w:rPr>
          <w:rFonts w:ascii="Times New Roman" w:hAnsi="Times New Roman" w:cs="Times New Roman"/>
          <w:sz w:val="24"/>
          <w:szCs w:val="24"/>
        </w:rPr>
        <w:t>extract &gt;</w:t>
      </w:r>
      <w:r>
        <w:rPr>
          <w:rFonts w:ascii="Times New Roman" w:hAnsi="Times New Roman" w:cs="Times New Roman"/>
          <w:i/>
          <w:sz w:val="24"/>
          <w:szCs w:val="24"/>
        </w:rPr>
        <w:t xml:space="preserve">Cocos nucifera </w:t>
      </w:r>
      <w:proofErr w:type="spellStart"/>
      <w:proofErr w:type="gramStart"/>
      <w:r>
        <w:rPr>
          <w:rFonts w:ascii="Times New Roman" w:hAnsi="Times New Roman" w:cs="Times New Roman"/>
          <w:sz w:val="24"/>
          <w:szCs w:val="24"/>
        </w:rPr>
        <w:t>extract.Therefore</w:t>
      </w:r>
      <w:proofErr w:type="spellEnd"/>
      <w:proofErr w:type="gramEnd"/>
      <w:r>
        <w:rPr>
          <w:rFonts w:ascii="Times New Roman" w:hAnsi="Times New Roman" w:cs="Times New Roman"/>
          <w:sz w:val="24"/>
          <w:szCs w:val="24"/>
        </w:rPr>
        <w:t xml:space="preserve">, the consumption of </w:t>
      </w:r>
      <w:r>
        <w:rPr>
          <w:rFonts w:ascii="Times New Roman" w:hAnsi="Times New Roman" w:cs="Times New Roman"/>
          <w:i/>
          <w:sz w:val="24"/>
          <w:szCs w:val="24"/>
        </w:rPr>
        <w:t xml:space="preserve">Cyperus esculentus </w:t>
      </w:r>
      <w:r>
        <w:rPr>
          <w:rFonts w:ascii="Times New Roman" w:hAnsi="Times New Roman" w:cs="Times New Roman"/>
          <w:sz w:val="24"/>
          <w:szCs w:val="24"/>
        </w:rPr>
        <w:t xml:space="preserve">extract or a combination of the two extracts is advocated rather than </w:t>
      </w:r>
      <w:r>
        <w:rPr>
          <w:rFonts w:ascii="Times New Roman" w:hAnsi="Times New Roman" w:cs="Times New Roman"/>
          <w:i/>
          <w:sz w:val="24"/>
          <w:szCs w:val="24"/>
        </w:rPr>
        <w:t xml:space="preserve">Cocos nucifera </w:t>
      </w:r>
      <w:r>
        <w:rPr>
          <w:rFonts w:ascii="Times New Roman" w:hAnsi="Times New Roman" w:cs="Times New Roman"/>
          <w:sz w:val="24"/>
          <w:szCs w:val="24"/>
        </w:rPr>
        <w:t xml:space="preserve">extract alone. </w:t>
      </w:r>
    </w:p>
    <w:p w14:paraId="31733B25" w14:textId="77777777" w:rsidR="00294F4C" w:rsidRDefault="00294F4C">
      <w:pPr>
        <w:spacing w:line="240" w:lineRule="auto"/>
        <w:rPr>
          <w:rFonts w:ascii="Times New Roman" w:hAnsi="Times New Roman" w:cs="Times New Roman"/>
          <w:sz w:val="24"/>
          <w:szCs w:val="24"/>
        </w:rPr>
      </w:pPr>
    </w:p>
    <w:p w14:paraId="2CB0C572" w14:textId="77777777" w:rsidR="00294F4C" w:rsidRDefault="00EA23E1">
      <w:pPr>
        <w:spacing w:line="240" w:lineRule="auto"/>
        <w:rPr>
          <w:rFonts w:ascii="Times New Roman" w:eastAsia="SimSun" w:hAnsi="Times New Roman" w:cs="Times New Roman"/>
          <w:color w:val="303030"/>
          <w:sz w:val="24"/>
          <w:szCs w:val="24"/>
          <w:shd w:val="clear" w:color="auto" w:fill="FFFFFF"/>
        </w:rPr>
      </w:pPr>
      <w:r>
        <w:rPr>
          <w:rFonts w:ascii="Times New Roman" w:eastAsia="SimSun" w:hAnsi="Times New Roman" w:cs="Times New Roman"/>
          <w:b/>
          <w:bCs/>
          <w:color w:val="303030"/>
          <w:sz w:val="24"/>
          <w:szCs w:val="24"/>
          <w:shd w:val="clear" w:color="auto" w:fill="FFFFFF"/>
        </w:rPr>
        <w:t>References</w:t>
      </w:r>
    </w:p>
    <w:p w14:paraId="14937970" w14:textId="77777777" w:rsidR="00294F4C" w:rsidRDefault="00EA23E1">
      <w:pPr>
        <w:numPr>
          <w:ilvl w:val="0"/>
          <w:numId w:val="1"/>
        </w:num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Ott,  J.J.</w:t>
      </w:r>
      <w:proofErr w:type="gramEnd"/>
      <w:r>
        <w:rPr>
          <w:rFonts w:ascii="Times New Roman" w:hAnsi="Times New Roman" w:cs="Times New Roman"/>
          <w:sz w:val="24"/>
          <w:szCs w:val="24"/>
        </w:rPr>
        <w:t xml:space="preserve">, Stevens, G. A., Groeger, J. &amp; Wiersma, S.T.(2012). Global epidemiology of hepatitis B virus infection: new estimates of age-specific HBsAg seroprevalence and </w:t>
      </w:r>
      <w:r>
        <w:rPr>
          <w:rFonts w:ascii="Times New Roman" w:hAnsi="Times New Roman" w:cs="Times New Roman"/>
          <w:sz w:val="24"/>
          <w:szCs w:val="24"/>
        </w:rPr>
        <w:t>endemicity. Vaccine; 30(12):2212–19.</w:t>
      </w:r>
    </w:p>
    <w:p w14:paraId="78A67B0D" w14:textId="77777777" w:rsidR="00294F4C" w:rsidRDefault="00EA23E1">
      <w:pPr>
        <w:numPr>
          <w:ilvl w:val="0"/>
          <w:numId w:val="1"/>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Devarbhavi</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Asraniz</w:t>
      </w:r>
      <w:proofErr w:type="spellEnd"/>
      <w:r>
        <w:rPr>
          <w:rFonts w:ascii="Times New Roman" w:hAnsi="Times New Roman" w:cs="Times New Roman"/>
          <w:sz w:val="24"/>
          <w:szCs w:val="24"/>
        </w:rPr>
        <w:t xml:space="preserve">, S.K., Arab, J.P., Nartey, Y.A., </w:t>
      </w:r>
      <w:proofErr w:type="spellStart"/>
      <w:proofErr w:type="gramStart"/>
      <w:r>
        <w:rPr>
          <w:rFonts w:ascii="Times New Roman" w:hAnsi="Times New Roman" w:cs="Times New Roman"/>
          <w:sz w:val="24"/>
          <w:szCs w:val="24"/>
        </w:rPr>
        <w:t>Pose,E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&amp; Kamath, P.S. (2023). Global burden of liver disease. (2023). Journal of Hepatology, 79(2), 515-537.</w:t>
      </w:r>
    </w:p>
    <w:p w14:paraId="25CB98DC" w14:textId="77777777" w:rsidR="00294F4C" w:rsidRDefault="00EA23E1">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Mohammadian, M., </w:t>
      </w:r>
      <w:proofErr w:type="spellStart"/>
      <w:r>
        <w:rPr>
          <w:rFonts w:ascii="Times New Roman" w:hAnsi="Times New Roman" w:cs="Times New Roman"/>
          <w:sz w:val="24"/>
          <w:szCs w:val="24"/>
        </w:rPr>
        <w:t>Mahdavifar</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M</w:t>
      </w:r>
      <w:r>
        <w:rPr>
          <w:rFonts w:ascii="Times New Roman" w:eastAsia="sans-serif" w:hAnsi="Times New Roman" w:cs="Times New Roman"/>
          <w:sz w:val="24"/>
          <w:szCs w:val="24"/>
          <w:shd w:val="clear" w:color="auto" w:fill="FFFFFF"/>
          <w:lang w:eastAsia="zh-CN" w:bidi="ar"/>
        </w:rPr>
        <w:t>ohammadian-Hafshej</w:t>
      </w:r>
      <w:r>
        <w:rPr>
          <w:rFonts w:ascii="Times New Roman" w:eastAsia="sans-serif" w:hAnsi="Times New Roman" w:cs="Times New Roman"/>
          <w:sz w:val="24"/>
          <w:szCs w:val="24"/>
          <w:shd w:val="clear" w:color="auto" w:fill="FFFFFF"/>
          <w:lang w:eastAsia="zh-CN" w:bidi="ar"/>
        </w:rPr>
        <w:t>a</w:t>
      </w:r>
      <w:proofErr w:type="spellEnd"/>
      <w:r>
        <w:rPr>
          <w:rFonts w:ascii="Times New Roman" w:eastAsia="sans-serif" w:hAnsi="Times New Roman" w:cs="Times New Roman"/>
          <w:sz w:val="24"/>
          <w:szCs w:val="24"/>
          <w:shd w:val="clear" w:color="auto" w:fill="FFFFFF"/>
          <w:lang w:eastAsia="zh-CN" w:bidi="ar"/>
        </w:rPr>
        <w:t xml:space="preserve">, A. &amp; </w:t>
      </w:r>
      <w:proofErr w:type="spellStart"/>
      <w:r>
        <w:rPr>
          <w:rFonts w:ascii="Times New Roman" w:eastAsia="sans-serif" w:hAnsi="Times New Roman" w:cs="Times New Roman"/>
          <w:sz w:val="24"/>
          <w:szCs w:val="24"/>
          <w:shd w:val="clear" w:color="auto" w:fill="FFFFFF"/>
          <w:lang w:eastAsia="zh-CN" w:bidi="ar"/>
        </w:rPr>
        <w:t>Salehiniya</w:t>
      </w:r>
      <w:proofErr w:type="spellEnd"/>
      <w:r>
        <w:rPr>
          <w:rFonts w:ascii="Times New Roman" w:eastAsia="sans-serif" w:hAnsi="Times New Roman" w:cs="Times New Roman"/>
          <w:sz w:val="24"/>
          <w:szCs w:val="24"/>
          <w:shd w:val="clear" w:color="auto" w:fill="FFFFFF"/>
          <w:lang w:eastAsia="zh-CN" w:bidi="ar"/>
        </w:rPr>
        <w:t xml:space="preserve">, H. (2018). </w:t>
      </w:r>
      <w:r>
        <w:rPr>
          <w:rFonts w:ascii="Times New Roman" w:hAnsi="Times New Roman" w:cs="Times New Roman"/>
          <w:sz w:val="24"/>
          <w:szCs w:val="24"/>
        </w:rPr>
        <w:t>Liver cancer in the world: Epidemiology, incidence, mortality and risk factors; World Cancer Research Journal, 5(2). e1082.</w:t>
      </w:r>
    </w:p>
    <w:p w14:paraId="0EB40292" w14:textId="77777777" w:rsidR="00294F4C" w:rsidRDefault="00EA23E1">
      <w:pPr>
        <w:numPr>
          <w:ilvl w:val="0"/>
          <w:numId w:val="1"/>
        </w:numPr>
        <w:spacing w:line="240" w:lineRule="auto"/>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 xml:space="preserve">DiMarco-Crook C. </w:t>
      </w:r>
      <w:proofErr w:type="gramStart"/>
      <w:r>
        <w:rPr>
          <w:rFonts w:ascii="Times New Roman" w:eastAsia="Segoe UI" w:hAnsi="Times New Roman" w:cs="Times New Roman"/>
          <w:color w:val="212121"/>
          <w:sz w:val="24"/>
          <w:szCs w:val="24"/>
          <w:shd w:val="clear" w:color="auto" w:fill="FFFFFF"/>
        </w:rPr>
        <w:t>&amp;  Xiao</w:t>
      </w:r>
      <w:proofErr w:type="gramEnd"/>
      <w:r>
        <w:rPr>
          <w:rFonts w:ascii="Times New Roman" w:eastAsia="Segoe UI" w:hAnsi="Times New Roman" w:cs="Times New Roman"/>
          <w:color w:val="212121"/>
          <w:sz w:val="24"/>
          <w:szCs w:val="24"/>
          <w:shd w:val="clear" w:color="auto" w:fill="FFFFFF"/>
        </w:rPr>
        <w:t xml:space="preserve"> H. (2015).  Diet-based strategies for cancer chemoprevention: the role of co</w:t>
      </w:r>
      <w:r>
        <w:rPr>
          <w:rFonts w:ascii="Times New Roman" w:eastAsia="Segoe UI" w:hAnsi="Times New Roman" w:cs="Times New Roman"/>
          <w:color w:val="212121"/>
          <w:sz w:val="24"/>
          <w:szCs w:val="24"/>
          <w:shd w:val="clear" w:color="auto" w:fill="FFFFFF"/>
        </w:rPr>
        <w:t>mbination regimens using dietary bioactive components. Annu Rev Food Sci Technol, 6:505-26</w:t>
      </w:r>
    </w:p>
    <w:p w14:paraId="2AD35BEE" w14:textId="77777777" w:rsidR="00294F4C" w:rsidRDefault="00EA23E1">
      <w:pPr>
        <w:numPr>
          <w:ilvl w:val="0"/>
          <w:numId w:val="2"/>
        </w:numPr>
        <w:spacing w:line="240" w:lineRule="auto"/>
        <w:rPr>
          <w:rFonts w:ascii="Times New Roman" w:eastAsia="Segoe UI" w:hAnsi="Times New Roman" w:cs="Times New Roman"/>
          <w:color w:val="212121"/>
          <w:sz w:val="24"/>
          <w:szCs w:val="24"/>
          <w:shd w:val="clear" w:color="auto" w:fill="FFFFFF"/>
        </w:rPr>
      </w:pPr>
      <w:r>
        <w:rPr>
          <w:rFonts w:ascii="Times New Roman" w:eastAsia="Consolas" w:hAnsi="Times New Roman" w:cs="Times New Roman"/>
          <w:color w:val="1B1B1B"/>
          <w:sz w:val="24"/>
          <w:szCs w:val="24"/>
          <w:shd w:val="clear" w:color="auto" w:fill="FFFFFF"/>
        </w:rPr>
        <w:t xml:space="preserve">Gomaa, A.I, Khan SA, Toledano MB, Waked I, Taylor-Robinson </w:t>
      </w:r>
      <w:proofErr w:type="gramStart"/>
      <w:r>
        <w:rPr>
          <w:rFonts w:ascii="Times New Roman" w:eastAsia="Consolas" w:hAnsi="Times New Roman" w:cs="Times New Roman"/>
          <w:color w:val="1B1B1B"/>
          <w:sz w:val="24"/>
          <w:szCs w:val="24"/>
          <w:shd w:val="clear" w:color="auto" w:fill="FFFFFF"/>
        </w:rPr>
        <w:t>SD.(</w:t>
      </w:r>
      <w:proofErr w:type="gramEnd"/>
      <w:r>
        <w:rPr>
          <w:rFonts w:ascii="Times New Roman" w:eastAsia="Consolas" w:hAnsi="Times New Roman" w:cs="Times New Roman"/>
          <w:color w:val="1B1B1B"/>
          <w:sz w:val="24"/>
          <w:szCs w:val="24"/>
          <w:shd w:val="clear" w:color="auto" w:fill="FFFFFF"/>
        </w:rPr>
        <w:t>2008). Hepatocellular carcinoma: epidemiology, risk factors and pathogenesis. World J Gastroenterol, 1</w:t>
      </w:r>
      <w:r>
        <w:rPr>
          <w:rFonts w:ascii="Times New Roman" w:eastAsia="Consolas" w:hAnsi="Times New Roman" w:cs="Times New Roman"/>
          <w:color w:val="1B1B1B"/>
          <w:sz w:val="24"/>
          <w:szCs w:val="24"/>
          <w:shd w:val="clear" w:color="auto" w:fill="FFFFFF"/>
        </w:rPr>
        <w:t>4(27):4300-8.</w:t>
      </w:r>
    </w:p>
    <w:p w14:paraId="097A787B" w14:textId="77777777" w:rsidR="00294F4C" w:rsidRDefault="00EA23E1">
      <w:pPr>
        <w:numPr>
          <w:ilvl w:val="0"/>
          <w:numId w:val="2"/>
        </w:numPr>
        <w:spacing w:line="240" w:lineRule="auto"/>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Reddy, V.P. (2023). Oxidative Stress in Health and Disease. Biomedicines, 29;11(11):2925</w:t>
      </w:r>
    </w:p>
    <w:p w14:paraId="3A6CB0F2" w14:textId="77777777" w:rsidR="00294F4C" w:rsidRDefault="00EA23E1">
      <w:pPr>
        <w:numPr>
          <w:ilvl w:val="0"/>
          <w:numId w:val="2"/>
        </w:numPr>
        <w:spacing w:line="240" w:lineRule="auto"/>
        <w:rPr>
          <w:rFonts w:ascii="Times New Roman" w:eastAsia="Segoe UI" w:hAnsi="Times New Roman" w:cs="Times New Roman"/>
          <w:color w:val="212121"/>
          <w:sz w:val="24"/>
          <w:szCs w:val="24"/>
          <w:shd w:val="clear" w:color="auto" w:fill="FFFFFF"/>
        </w:rPr>
      </w:pPr>
      <w:proofErr w:type="spellStart"/>
      <w:r>
        <w:rPr>
          <w:rFonts w:ascii="Times New Roman" w:eastAsia="Consolas" w:hAnsi="Times New Roman" w:cs="Times New Roman"/>
          <w:color w:val="1B1B1B"/>
          <w:sz w:val="24"/>
          <w:szCs w:val="24"/>
          <w:shd w:val="clear" w:color="auto" w:fill="FFFFFF"/>
        </w:rPr>
        <w:t>Lushchak</w:t>
      </w:r>
      <w:proofErr w:type="spellEnd"/>
      <w:r>
        <w:rPr>
          <w:rFonts w:ascii="Times New Roman" w:eastAsia="Consolas" w:hAnsi="Times New Roman" w:cs="Times New Roman"/>
          <w:color w:val="1B1B1B"/>
          <w:sz w:val="24"/>
          <w:szCs w:val="24"/>
          <w:shd w:val="clear" w:color="auto" w:fill="FFFFFF"/>
        </w:rPr>
        <w:t xml:space="preserve"> VI, </w:t>
      </w:r>
      <w:proofErr w:type="spellStart"/>
      <w:r>
        <w:rPr>
          <w:rFonts w:ascii="Times New Roman" w:eastAsia="Consolas" w:hAnsi="Times New Roman" w:cs="Times New Roman"/>
          <w:color w:val="1B1B1B"/>
          <w:sz w:val="24"/>
          <w:szCs w:val="24"/>
          <w:shd w:val="clear" w:color="auto" w:fill="FFFFFF"/>
        </w:rPr>
        <w:t>Storey</w:t>
      </w:r>
      <w:proofErr w:type="spellEnd"/>
      <w:r>
        <w:rPr>
          <w:rFonts w:ascii="Times New Roman" w:eastAsia="Consolas" w:hAnsi="Times New Roman" w:cs="Times New Roman"/>
          <w:color w:val="1B1B1B"/>
          <w:sz w:val="24"/>
          <w:szCs w:val="24"/>
          <w:shd w:val="clear" w:color="auto" w:fill="FFFFFF"/>
        </w:rPr>
        <w:t xml:space="preserve"> </w:t>
      </w:r>
      <w:proofErr w:type="gramStart"/>
      <w:r>
        <w:rPr>
          <w:rFonts w:ascii="Times New Roman" w:eastAsia="Consolas" w:hAnsi="Times New Roman" w:cs="Times New Roman"/>
          <w:color w:val="1B1B1B"/>
          <w:sz w:val="24"/>
          <w:szCs w:val="24"/>
          <w:shd w:val="clear" w:color="auto" w:fill="FFFFFF"/>
        </w:rPr>
        <w:t>KB.(</w:t>
      </w:r>
      <w:proofErr w:type="gramEnd"/>
      <w:r>
        <w:rPr>
          <w:rFonts w:ascii="Times New Roman" w:eastAsia="Consolas" w:hAnsi="Times New Roman" w:cs="Times New Roman"/>
          <w:color w:val="1B1B1B"/>
          <w:sz w:val="24"/>
          <w:szCs w:val="24"/>
          <w:shd w:val="clear" w:color="auto" w:fill="FFFFFF"/>
        </w:rPr>
        <w:t xml:space="preserve">2021). Oxidative stress concept updated: Definitions, classifications, and regulatory pathways implicated. EXCLI </w:t>
      </w:r>
      <w:proofErr w:type="gramStart"/>
      <w:r>
        <w:rPr>
          <w:rFonts w:ascii="Times New Roman" w:eastAsia="Consolas" w:hAnsi="Times New Roman" w:cs="Times New Roman"/>
          <w:color w:val="1B1B1B"/>
          <w:sz w:val="24"/>
          <w:szCs w:val="24"/>
          <w:shd w:val="clear" w:color="auto" w:fill="FFFFFF"/>
        </w:rPr>
        <w:t>J;20:956</w:t>
      </w:r>
      <w:proofErr w:type="gramEnd"/>
      <w:r>
        <w:rPr>
          <w:rFonts w:ascii="Times New Roman" w:eastAsia="Consolas" w:hAnsi="Times New Roman" w:cs="Times New Roman"/>
          <w:color w:val="1B1B1B"/>
          <w:sz w:val="24"/>
          <w:szCs w:val="24"/>
          <w:shd w:val="clear" w:color="auto" w:fill="FFFFFF"/>
        </w:rPr>
        <w:t>-967.</w:t>
      </w:r>
    </w:p>
    <w:p w14:paraId="76CCF878" w14:textId="77777777" w:rsidR="00294F4C" w:rsidRDefault="00EA23E1">
      <w:pPr>
        <w:numPr>
          <w:ilvl w:val="0"/>
          <w:numId w:val="2"/>
        </w:numPr>
        <w:spacing w:line="240" w:lineRule="auto"/>
        <w:rPr>
          <w:rFonts w:ascii="Times New Roman" w:eastAsia="Segoe UI" w:hAnsi="Times New Roman" w:cs="Times New Roman"/>
          <w:color w:val="212121"/>
          <w:sz w:val="24"/>
          <w:szCs w:val="24"/>
          <w:shd w:val="clear" w:color="auto" w:fill="FFFFFF"/>
        </w:rPr>
      </w:pPr>
      <w:r>
        <w:rPr>
          <w:rFonts w:ascii="Times New Roman" w:eastAsia="Consolas" w:hAnsi="Times New Roman" w:cs="Times New Roman"/>
          <w:color w:val="1B1B1B"/>
          <w:sz w:val="24"/>
          <w:szCs w:val="24"/>
          <w:shd w:val="clear" w:color="auto" w:fill="FFFFFF"/>
        </w:rPr>
        <w:t>Ha</w:t>
      </w:r>
      <w:r>
        <w:rPr>
          <w:rFonts w:ascii="Times New Roman" w:eastAsia="Consolas" w:hAnsi="Times New Roman" w:cs="Times New Roman"/>
          <w:color w:val="1B1B1B"/>
          <w:sz w:val="24"/>
          <w:szCs w:val="24"/>
          <w:shd w:val="clear" w:color="auto" w:fill="FFFFFF"/>
        </w:rPr>
        <w:t xml:space="preserve"> HL, Shin HJ, </w:t>
      </w:r>
      <w:proofErr w:type="spellStart"/>
      <w:r>
        <w:rPr>
          <w:rFonts w:ascii="Times New Roman" w:eastAsia="Consolas" w:hAnsi="Times New Roman" w:cs="Times New Roman"/>
          <w:color w:val="1B1B1B"/>
          <w:sz w:val="24"/>
          <w:szCs w:val="24"/>
          <w:shd w:val="clear" w:color="auto" w:fill="FFFFFF"/>
        </w:rPr>
        <w:t>Feitelson</w:t>
      </w:r>
      <w:proofErr w:type="spellEnd"/>
      <w:r>
        <w:rPr>
          <w:rFonts w:ascii="Times New Roman" w:eastAsia="Consolas" w:hAnsi="Times New Roman" w:cs="Times New Roman"/>
          <w:color w:val="1B1B1B"/>
          <w:sz w:val="24"/>
          <w:szCs w:val="24"/>
          <w:shd w:val="clear" w:color="auto" w:fill="FFFFFF"/>
        </w:rPr>
        <w:t xml:space="preserve"> MA, Yu </w:t>
      </w:r>
      <w:proofErr w:type="gramStart"/>
      <w:r>
        <w:rPr>
          <w:rFonts w:ascii="Times New Roman" w:eastAsia="Consolas" w:hAnsi="Times New Roman" w:cs="Times New Roman"/>
          <w:color w:val="1B1B1B"/>
          <w:sz w:val="24"/>
          <w:szCs w:val="24"/>
          <w:shd w:val="clear" w:color="auto" w:fill="FFFFFF"/>
        </w:rPr>
        <w:t>DY.(</w:t>
      </w:r>
      <w:proofErr w:type="gramEnd"/>
      <w:r>
        <w:rPr>
          <w:rFonts w:ascii="Times New Roman" w:eastAsia="Consolas" w:hAnsi="Times New Roman" w:cs="Times New Roman"/>
          <w:color w:val="1B1B1B"/>
          <w:sz w:val="24"/>
          <w:szCs w:val="24"/>
          <w:shd w:val="clear" w:color="auto" w:fill="FFFFFF"/>
        </w:rPr>
        <w:t>2010). Oxidative stress and antioxidants in hepatic pathogenesis. World J Gastroenterol, 16(48):6035-43.</w:t>
      </w:r>
    </w:p>
    <w:p w14:paraId="30651B84" w14:textId="77777777" w:rsidR="00294F4C" w:rsidRDefault="00EA23E1">
      <w:pPr>
        <w:numPr>
          <w:ilvl w:val="0"/>
          <w:numId w:val="2"/>
        </w:numPr>
        <w:spacing w:line="240" w:lineRule="auto"/>
        <w:rPr>
          <w:rFonts w:ascii="Times New Roman" w:eastAsia="Segoe UI" w:hAnsi="Times New Roman" w:cs="Times New Roman"/>
          <w:color w:val="212121"/>
          <w:sz w:val="24"/>
          <w:szCs w:val="24"/>
          <w:shd w:val="clear" w:color="auto" w:fill="FFFFFF"/>
        </w:rPr>
      </w:pPr>
      <w:r>
        <w:rPr>
          <w:rFonts w:ascii="Times New Roman" w:eastAsia="Cambria" w:hAnsi="Times New Roman" w:cs="Times New Roman"/>
          <w:color w:val="1B1B1B"/>
          <w:sz w:val="24"/>
          <w:szCs w:val="24"/>
          <w:shd w:val="clear" w:color="auto" w:fill="FFFFFF"/>
        </w:rPr>
        <w:t xml:space="preserve">Sies H.  (1985). Oxidative stress: Introductory remarks. In: Sies H, editor. Oxidative stress. London: Academic </w:t>
      </w:r>
      <w:proofErr w:type="gramStart"/>
      <w:r>
        <w:rPr>
          <w:rFonts w:ascii="Times New Roman" w:eastAsia="Cambria" w:hAnsi="Times New Roman" w:cs="Times New Roman"/>
          <w:color w:val="1B1B1B"/>
          <w:sz w:val="24"/>
          <w:szCs w:val="24"/>
          <w:shd w:val="clear" w:color="auto" w:fill="FFFFFF"/>
        </w:rPr>
        <w:t>Press;  .</w:t>
      </w:r>
      <w:proofErr w:type="gramEnd"/>
      <w:r>
        <w:rPr>
          <w:rFonts w:ascii="Times New Roman" w:eastAsia="Cambria" w:hAnsi="Times New Roman" w:cs="Times New Roman"/>
          <w:color w:val="1B1B1B"/>
          <w:sz w:val="24"/>
          <w:szCs w:val="24"/>
          <w:shd w:val="clear" w:color="auto" w:fill="FFFFFF"/>
        </w:rPr>
        <w:t xml:space="preserve"> pp. 1–8</w:t>
      </w:r>
    </w:p>
    <w:p w14:paraId="31DD5D9D" w14:textId="77777777" w:rsidR="00294F4C" w:rsidRDefault="00EA23E1">
      <w:pPr>
        <w:numPr>
          <w:ilvl w:val="0"/>
          <w:numId w:val="2"/>
        </w:numPr>
        <w:spacing w:line="240" w:lineRule="auto"/>
        <w:rPr>
          <w:rFonts w:ascii="Times New Roman" w:hAnsi="Times New Roman" w:cs="Times New Roman"/>
          <w:sz w:val="24"/>
          <w:szCs w:val="24"/>
        </w:rPr>
      </w:pPr>
      <w:r>
        <w:rPr>
          <w:rFonts w:ascii="Times New Roman" w:eastAsia="Consolas" w:hAnsi="Times New Roman" w:cs="Times New Roman"/>
          <w:color w:val="1B1B1B"/>
          <w:sz w:val="24"/>
          <w:szCs w:val="24"/>
          <w:shd w:val="clear" w:color="auto" w:fill="FFFFFF"/>
        </w:rPr>
        <w:t xml:space="preserve">Popa GL, Popa </w:t>
      </w:r>
      <w:proofErr w:type="gramStart"/>
      <w:r>
        <w:rPr>
          <w:rFonts w:ascii="Times New Roman" w:eastAsia="Consolas" w:hAnsi="Times New Roman" w:cs="Times New Roman"/>
          <w:color w:val="1B1B1B"/>
          <w:sz w:val="24"/>
          <w:szCs w:val="24"/>
          <w:shd w:val="clear" w:color="auto" w:fill="FFFFFF"/>
        </w:rPr>
        <w:t>MI.(</w:t>
      </w:r>
      <w:proofErr w:type="gramEnd"/>
      <w:r>
        <w:rPr>
          <w:rFonts w:ascii="Times New Roman" w:eastAsia="Consolas" w:hAnsi="Times New Roman" w:cs="Times New Roman"/>
          <w:color w:val="1B1B1B"/>
          <w:sz w:val="24"/>
          <w:szCs w:val="24"/>
          <w:shd w:val="clear" w:color="auto" w:fill="FFFFFF"/>
        </w:rPr>
        <w:t xml:space="preserve">2022) Oxidative Stress in Chronic Hepatitis B-An Update. Microorganisms. 10(7):1265. </w:t>
      </w:r>
      <w:proofErr w:type="spellStart"/>
      <w:r>
        <w:rPr>
          <w:rFonts w:ascii="Times New Roman" w:eastAsia="Consolas" w:hAnsi="Times New Roman" w:cs="Times New Roman"/>
          <w:color w:val="1B1B1B"/>
          <w:sz w:val="24"/>
          <w:szCs w:val="24"/>
          <w:shd w:val="clear" w:color="auto" w:fill="FFFFFF"/>
        </w:rPr>
        <w:t>doi</w:t>
      </w:r>
      <w:proofErr w:type="spellEnd"/>
      <w:r>
        <w:rPr>
          <w:rFonts w:ascii="Times New Roman" w:eastAsia="Consolas" w:hAnsi="Times New Roman" w:cs="Times New Roman"/>
          <w:color w:val="1B1B1B"/>
          <w:sz w:val="24"/>
          <w:szCs w:val="24"/>
          <w:shd w:val="clear" w:color="auto" w:fill="FFFFFF"/>
        </w:rPr>
        <w:t>: 10.3390/microorganisms10071265. PMID: 35888983; PMCID: PMC9318593.</w:t>
      </w:r>
    </w:p>
    <w:p w14:paraId="145D0E87" w14:textId="77777777" w:rsidR="00294F4C" w:rsidRDefault="00EA23E1">
      <w:pPr>
        <w:numPr>
          <w:ilvl w:val="0"/>
          <w:numId w:val="2"/>
        </w:numPr>
        <w:spacing w:line="240" w:lineRule="auto"/>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Krishnan, S. (2018). Traditional herbal medicines-A review. Int</w:t>
      </w:r>
      <w:r>
        <w:rPr>
          <w:rFonts w:ascii="Times New Roman" w:eastAsia="Segoe UI" w:hAnsi="Times New Roman" w:cs="Times New Roman"/>
          <w:color w:val="212121"/>
          <w:sz w:val="24"/>
          <w:szCs w:val="24"/>
          <w:shd w:val="clear" w:color="auto" w:fill="FFFFFF"/>
        </w:rPr>
        <w:t>ernational J. of Research and Analytical review, 5(4), 611-614.</w:t>
      </w:r>
    </w:p>
    <w:p w14:paraId="51031740" w14:textId="77777777" w:rsidR="00294F4C" w:rsidRDefault="00EA23E1">
      <w:pPr>
        <w:numPr>
          <w:ilvl w:val="0"/>
          <w:numId w:val="2"/>
        </w:numPr>
        <w:spacing w:line="240" w:lineRule="auto"/>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Chisari, F. V., Pinkert, C. A., Milich, D. R., Filippi, P., McLachlan, A., Palmiter, R. D., &amp; Brinster, R. L. (1985). A transgenic mouse model of the chronic hepatitis B surface antigen carrie</w:t>
      </w:r>
      <w:r>
        <w:rPr>
          <w:rFonts w:ascii="Times New Roman" w:eastAsia="SimSun" w:hAnsi="Times New Roman" w:cs="Times New Roman"/>
          <w:color w:val="222222"/>
          <w:sz w:val="24"/>
          <w:szCs w:val="24"/>
          <w:shd w:val="clear" w:color="auto" w:fill="FFFFFF"/>
        </w:rPr>
        <w:t>r state. </w:t>
      </w:r>
      <w:r>
        <w:rPr>
          <w:rFonts w:ascii="Times New Roman" w:eastAsia="SimSun" w:hAnsi="Times New Roman" w:cs="Times New Roman"/>
          <w:i/>
          <w:iCs/>
          <w:color w:val="222222"/>
          <w:sz w:val="24"/>
          <w:szCs w:val="24"/>
          <w:shd w:val="clear" w:color="auto" w:fill="FFFFFF"/>
        </w:rPr>
        <w:t>Science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230</w:t>
      </w:r>
      <w:r>
        <w:rPr>
          <w:rFonts w:ascii="Times New Roman" w:eastAsia="SimSun" w:hAnsi="Times New Roman" w:cs="Times New Roman"/>
          <w:color w:val="222222"/>
          <w:sz w:val="24"/>
          <w:szCs w:val="24"/>
          <w:shd w:val="clear" w:color="auto" w:fill="FFFFFF"/>
        </w:rPr>
        <w:t>(4730), 1157-1160.</w:t>
      </w:r>
    </w:p>
    <w:p w14:paraId="7E9FD3A7" w14:textId="77777777" w:rsidR="00294F4C" w:rsidRDefault="00EA23E1">
      <w:pPr>
        <w:numPr>
          <w:ilvl w:val="0"/>
          <w:numId w:val="2"/>
        </w:numPr>
        <w:spacing w:line="240" w:lineRule="auto"/>
        <w:rPr>
          <w:rFonts w:ascii="Times New Roman" w:hAnsi="Times New Roman" w:cs="Times New Roman"/>
          <w:sz w:val="24"/>
          <w:szCs w:val="24"/>
        </w:rPr>
      </w:pPr>
      <w:r>
        <w:rPr>
          <w:rFonts w:ascii="Times New Roman" w:eastAsia="sans-serif" w:hAnsi="Times New Roman" w:cs="Times New Roman"/>
          <w:sz w:val="24"/>
          <w:szCs w:val="24"/>
          <w:shd w:val="clear" w:color="auto" w:fill="FFFFFF"/>
        </w:rPr>
        <w:t xml:space="preserve"> Beutler E, Duron O and Kelly BM (1963). Improved method for the determination of blood</w:t>
      </w:r>
      <w:r>
        <w:rPr>
          <w:rFonts w:ascii="Times New Roman" w:eastAsia="Segoe UI" w:hAnsi="Times New Roman" w:cs="Times New Roman"/>
          <w:sz w:val="24"/>
          <w:szCs w:val="24"/>
          <w:shd w:val="clear" w:color="auto" w:fill="FFFFFF"/>
        </w:rPr>
        <w:br/>
      </w:r>
      <w:r>
        <w:rPr>
          <w:rFonts w:ascii="Times New Roman" w:eastAsia="sans-serif" w:hAnsi="Times New Roman" w:cs="Times New Roman"/>
          <w:sz w:val="24"/>
          <w:szCs w:val="24"/>
          <w:shd w:val="clear" w:color="auto" w:fill="FFFFFF"/>
        </w:rPr>
        <w:t>glutathione. J. Lab. Clin. Med.; 61: 882-888.</w:t>
      </w:r>
    </w:p>
    <w:p w14:paraId="5487B2F7" w14:textId="77777777" w:rsidR="00294F4C" w:rsidRDefault="00EA23E1">
      <w:pPr>
        <w:numPr>
          <w:ilvl w:val="0"/>
          <w:numId w:val="2"/>
        </w:numPr>
        <w:spacing w:line="240" w:lineRule="auto"/>
        <w:rPr>
          <w:rFonts w:ascii="Times New Roman" w:hAnsi="Times New Roman" w:cs="Times New Roman"/>
          <w:sz w:val="24"/>
          <w:szCs w:val="24"/>
        </w:rPr>
      </w:pPr>
      <w:proofErr w:type="spellStart"/>
      <w:r>
        <w:rPr>
          <w:rFonts w:ascii="Times New Roman" w:eastAsia="sans-serif" w:hAnsi="Times New Roman" w:cs="Times New Roman"/>
          <w:sz w:val="24"/>
          <w:szCs w:val="24"/>
          <w:shd w:val="clear" w:color="auto" w:fill="FFFFFF"/>
        </w:rPr>
        <w:t>Misra</w:t>
      </w:r>
      <w:proofErr w:type="spellEnd"/>
      <w:r>
        <w:rPr>
          <w:rFonts w:ascii="Times New Roman" w:eastAsia="sans-serif" w:hAnsi="Times New Roman" w:cs="Times New Roman"/>
          <w:sz w:val="24"/>
          <w:szCs w:val="24"/>
          <w:shd w:val="clear" w:color="auto" w:fill="FFFFFF"/>
        </w:rPr>
        <w:t xml:space="preserve"> HP and </w:t>
      </w:r>
      <w:proofErr w:type="spellStart"/>
      <w:r>
        <w:rPr>
          <w:rFonts w:ascii="Times New Roman" w:eastAsia="sans-serif" w:hAnsi="Times New Roman" w:cs="Times New Roman"/>
          <w:sz w:val="24"/>
          <w:szCs w:val="24"/>
          <w:shd w:val="clear" w:color="auto" w:fill="FFFFFF"/>
        </w:rPr>
        <w:t>Fridovich</w:t>
      </w:r>
      <w:proofErr w:type="spellEnd"/>
      <w:r>
        <w:rPr>
          <w:rFonts w:ascii="Times New Roman" w:eastAsia="sans-serif" w:hAnsi="Times New Roman" w:cs="Times New Roman"/>
          <w:sz w:val="24"/>
          <w:szCs w:val="24"/>
          <w:shd w:val="clear" w:color="auto" w:fill="FFFFFF"/>
        </w:rPr>
        <w:t xml:space="preserve"> I (1972). Superoxide dismutase (SOD) Estimation. J Biol Chem.;</w:t>
      </w:r>
      <w:r>
        <w:rPr>
          <w:rFonts w:ascii="Times New Roman" w:eastAsia="Segoe UI" w:hAnsi="Times New Roman" w:cs="Times New Roman"/>
          <w:sz w:val="24"/>
          <w:szCs w:val="24"/>
          <w:shd w:val="clear" w:color="auto" w:fill="FFFFFF"/>
        </w:rPr>
        <w:br/>
      </w:r>
      <w:r>
        <w:rPr>
          <w:rFonts w:ascii="Times New Roman" w:eastAsia="sans-serif" w:hAnsi="Times New Roman" w:cs="Times New Roman"/>
          <w:sz w:val="24"/>
          <w:szCs w:val="24"/>
          <w:shd w:val="clear" w:color="auto" w:fill="FFFFFF"/>
        </w:rPr>
        <w:t>247(10): 3170–3175.</w:t>
      </w:r>
    </w:p>
    <w:p w14:paraId="74E98CF6" w14:textId="77777777" w:rsidR="00294F4C" w:rsidRDefault="00EA23E1">
      <w:pPr>
        <w:numPr>
          <w:ilvl w:val="0"/>
          <w:numId w:val="2"/>
        </w:numPr>
        <w:spacing w:line="240" w:lineRule="auto"/>
        <w:rPr>
          <w:rStyle w:val="HTMLCite"/>
          <w:rFonts w:ascii="Times New Roman" w:eastAsia="Cambria" w:hAnsi="Times New Roman" w:cs="Times New Roman"/>
          <w:i w:val="0"/>
          <w:iCs w:val="0"/>
          <w:color w:val="1B1B1B"/>
          <w:sz w:val="24"/>
          <w:szCs w:val="24"/>
          <w:shd w:val="clear" w:color="auto" w:fill="FFFFFF"/>
        </w:rPr>
      </w:pPr>
      <w:r>
        <w:rPr>
          <w:rFonts w:ascii="Times New Roman" w:eastAsia="sans-serif" w:hAnsi="Times New Roman" w:cs="Times New Roman"/>
          <w:sz w:val="24"/>
          <w:szCs w:val="24"/>
          <w:shd w:val="clear" w:color="auto" w:fill="FFFFFF"/>
        </w:rPr>
        <w:t xml:space="preserve"> Sinha KA (1971). Calorimetric assay of catalase. Anal. </w:t>
      </w:r>
      <w:proofErr w:type="spellStart"/>
      <w:r>
        <w:rPr>
          <w:rFonts w:ascii="Times New Roman" w:eastAsia="sans-serif" w:hAnsi="Times New Roman" w:cs="Times New Roman"/>
          <w:sz w:val="24"/>
          <w:szCs w:val="24"/>
          <w:shd w:val="clear" w:color="auto" w:fill="FFFFFF"/>
        </w:rPr>
        <w:t>Biochem</w:t>
      </w:r>
      <w:proofErr w:type="spellEnd"/>
      <w:r>
        <w:rPr>
          <w:rFonts w:ascii="Times New Roman" w:eastAsia="sans-serif" w:hAnsi="Times New Roman" w:cs="Times New Roman"/>
          <w:sz w:val="24"/>
          <w:szCs w:val="24"/>
          <w:shd w:val="clear" w:color="auto" w:fill="FFFFFF"/>
        </w:rPr>
        <w:t>.; 47:389-394.</w:t>
      </w:r>
    </w:p>
    <w:p w14:paraId="3ED1B466" w14:textId="77777777" w:rsidR="00294F4C" w:rsidRDefault="00EA23E1">
      <w:pPr>
        <w:numPr>
          <w:ilvl w:val="0"/>
          <w:numId w:val="2"/>
        </w:numPr>
        <w:spacing w:line="240" w:lineRule="auto"/>
        <w:rPr>
          <w:rStyle w:val="HTMLCite"/>
          <w:rFonts w:ascii="Times New Roman" w:eastAsia="Cambria" w:hAnsi="Times New Roman" w:cs="Times New Roman"/>
          <w:i w:val="0"/>
          <w:iCs w:val="0"/>
          <w:color w:val="1B1B1B"/>
          <w:sz w:val="24"/>
          <w:szCs w:val="24"/>
          <w:shd w:val="clear" w:color="auto" w:fill="FFFFFF"/>
        </w:rPr>
      </w:pPr>
      <w:r>
        <w:rPr>
          <w:rStyle w:val="HTMLCite"/>
          <w:rFonts w:ascii="Times New Roman" w:eastAsia="Cambria" w:hAnsi="Times New Roman" w:cs="Times New Roman"/>
          <w:i w:val="0"/>
          <w:iCs w:val="0"/>
          <w:color w:val="1B1B1B"/>
          <w:sz w:val="24"/>
          <w:szCs w:val="24"/>
          <w:shd w:val="clear" w:color="auto" w:fill="FFFFFF"/>
        </w:rPr>
        <w:t xml:space="preserve">Ivanov AV, </w:t>
      </w:r>
      <w:proofErr w:type="spellStart"/>
      <w:r>
        <w:rPr>
          <w:rStyle w:val="HTMLCite"/>
          <w:rFonts w:ascii="Times New Roman" w:eastAsia="Cambria" w:hAnsi="Times New Roman" w:cs="Times New Roman"/>
          <w:i w:val="0"/>
          <w:iCs w:val="0"/>
          <w:color w:val="1B1B1B"/>
          <w:sz w:val="24"/>
          <w:szCs w:val="24"/>
          <w:shd w:val="clear" w:color="auto" w:fill="FFFFFF"/>
        </w:rPr>
        <w:t>Valuev</w:t>
      </w:r>
      <w:proofErr w:type="spellEnd"/>
      <w:r>
        <w:rPr>
          <w:rStyle w:val="HTMLCite"/>
          <w:rFonts w:ascii="Times New Roman" w:eastAsia="Cambria" w:hAnsi="Times New Roman" w:cs="Times New Roman"/>
          <w:i w:val="0"/>
          <w:iCs w:val="0"/>
          <w:color w:val="1B1B1B"/>
          <w:sz w:val="24"/>
          <w:szCs w:val="24"/>
          <w:shd w:val="clear" w:color="auto" w:fill="FFFFFF"/>
        </w:rPr>
        <w:t xml:space="preserve">-Elliston VT, </w:t>
      </w:r>
      <w:proofErr w:type="spellStart"/>
      <w:r>
        <w:rPr>
          <w:rStyle w:val="HTMLCite"/>
          <w:rFonts w:ascii="Times New Roman" w:eastAsia="Cambria" w:hAnsi="Times New Roman" w:cs="Times New Roman"/>
          <w:i w:val="0"/>
          <w:iCs w:val="0"/>
          <w:color w:val="1B1B1B"/>
          <w:sz w:val="24"/>
          <w:szCs w:val="24"/>
          <w:shd w:val="clear" w:color="auto" w:fill="FFFFFF"/>
        </w:rPr>
        <w:t>Tyurina</w:t>
      </w:r>
      <w:proofErr w:type="spellEnd"/>
      <w:r>
        <w:rPr>
          <w:rStyle w:val="HTMLCite"/>
          <w:rFonts w:ascii="Times New Roman" w:eastAsia="Cambria" w:hAnsi="Times New Roman" w:cs="Times New Roman"/>
          <w:i w:val="0"/>
          <w:iCs w:val="0"/>
          <w:color w:val="1B1B1B"/>
          <w:sz w:val="24"/>
          <w:szCs w:val="24"/>
          <w:shd w:val="clear" w:color="auto" w:fill="FFFFFF"/>
        </w:rPr>
        <w:t xml:space="preserve"> DA, Ivanova ON, Kochetkov SN, </w:t>
      </w:r>
      <w:proofErr w:type="spellStart"/>
      <w:r>
        <w:rPr>
          <w:rStyle w:val="HTMLCite"/>
          <w:rFonts w:ascii="Times New Roman" w:eastAsia="Cambria" w:hAnsi="Times New Roman" w:cs="Times New Roman"/>
          <w:i w:val="0"/>
          <w:iCs w:val="0"/>
          <w:color w:val="1B1B1B"/>
          <w:sz w:val="24"/>
          <w:szCs w:val="24"/>
          <w:shd w:val="clear" w:color="auto" w:fill="FFFFFF"/>
        </w:rPr>
        <w:t>Bartosch</w:t>
      </w:r>
      <w:proofErr w:type="spellEnd"/>
      <w:r>
        <w:rPr>
          <w:rStyle w:val="HTMLCite"/>
          <w:rFonts w:ascii="Times New Roman" w:eastAsia="Cambria" w:hAnsi="Times New Roman" w:cs="Times New Roman"/>
          <w:i w:val="0"/>
          <w:iCs w:val="0"/>
          <w:color w:val="1B1B1B"/>
          <w:sz w:val="24"/>
          <w:szCs w:val="24"/>
          <w:shd w:val="clear" w:color="auto" w:fill="FFFFFF"/>
        </w:rPr>
        <w:t xml:space="preserve"> B, </w:t>
      </w:r>
      <w:proofErr w:type="spellStart"/>
      <w:r>
        <w:rPr>
          <w:rStyle w:val="HTMLCite"/>
          <w:rFonts w:ascii="Times New Roman" w:eastAsia="Cambria" w:hAnsi="Times New Roman" w:cs="Times New Roman"/>
          <w:i w:val="0"/>
          <w:iCs w:val="0"/>
          <w:color w:val="1B1B1B"/>
          <w:sz w:val="24"/>
          <w:szCs w:val="24"/>
          <w:shd w:val="clear" w:color="auto" w:fill="FFFFFF"/>
        </w:rPr>
        <w:t>Isaguliants</w:t>
      </w:r>
      <w:proofErr w:type="spellEnd"/>
      <w:r>
        <w:rPr>
          <w:rStyle w:val="HTMLCite"/>
          <w:rFonts w:ascii="Times New Roman" w:eastAsia="Cambria" w:hAnsi="Times New Roman" w:cs="Times New Roman"/>
          <w:i w:val="0"/>
          <w:iCs w:val="0"/>
          <w:color w:val="1B1B1B"/>
          <w:sz w:val="24"/>
          <w:szCs w:val="24"/>
          <w:shd w:val="clear" w:color="auto" w:fill="FFFFFF"/>
        </w:rPr>
        <w:t xml:space="preserve"> MG. Oxidative stress, a trigger of hepatitis C and B virus-induced liver carcinogenesis. </w:t>
      </w:r>
      <w:proofErr w:type="spellStart"/>
      <w:r>
        <w:rPr>
          <w:rStyle w:val="HTMLCite"/>
          <w:rFonts w:ascii="Times New Roman" w:eastAsia="Cambria" w:hAnsi="Times New Roman" w:cs="Times New Roman"/>
          <w:i w:val="0"/>
          <w:iCs w:val="0"/>
          <w:color w:val="1B1B1B"/>
          <w:sz w:val="24"/>
          <w:szCs w:val="24"/>
          <w:shd w:val="clear" w:color="auto" w:fill="FFFFFF"/>
        </w:rPr>
        <w:t>Oncotarget</w:t>
      </w:r>
      <w:proofErr w:type="spellEnd"/>
      <w:r>
        <w:rPr>
          <w:rStyle w:val="HTMLCite"/>
          <w:rFonts w:ascii="Times New Roman" w:eastAsia="Cambria" w:hAnsi="Times New Roman" w:cs="Times New Roman"/>
          <w:i w:val="0"/>
          <w:iCs w:val="0"/>
          <w:color w:val="1B1B1B"/>
          <w:sz w:val="24"/>
          <w:szCs w:val="24"/>
          <w:shd w:val="clear" w:color="auto" w:fill="FFFFFF"/>
        </w:rPr>
        <w:t xml:space="preserve">. </w:t>
      </w:r>
      <w:proofErr w:type="gramStart"/>
      <w:r>
        <w:rPr>
          <w:rStyle w:val="HTMLCite"/>
          <w:rFonts w:ascii="Times New Roman" w:eastAsia="Cambria" w:hAnsi="Times New Roman" w:cs="Times New Roman"/>
          <w:i w:val="0"/>
          <w:iCs w:val="0"/>
          <w:color w:val="1B1B1B"/>
          <w:sz w:val="24"/>
          <w:szCs w:val="24"/>
          <w:shd w:val="clear" w:color="auto" w:fill="FFFFFF"/>
        </w:rPr>
        <w:t>2017;8:3895</w:t>
      </w:r>
      <w:proofErr w:type="gramEnd"/>
      <w:r>
        <w:rPr>
          <w:rStyle w:val="HTMLCite"/>
          <w:rFonts w:ascii="Times New Roman" w:eastAsia="Cambria" w:hAnsi="Times New Roman" w:cs="Times New Roman"/>
          <w:i w:val="0"/>
          <w:iCs w:val="0"/>
          <w:color w:val="1B1B1B"/>
          <w:sz w:val="24"/>
          <w:szCs w:val="24"/>
          <w:shd w:val="clear" w:color="auto" w:fill="FFFFFF"/>
        </w:rPr>
        <w:t>–3932.</w:t>
      </w:r>
    </w:p>
    <w:p w14:paraId="0E0290CA" w14:textId="77777777" w:rsidR="00294F4C" w:rsidRDefault="00EA23E1">
      <w:pPr>
        <w:numPr>
          <w:ilvl w:val="0"/>
          <w:numId w:val="2"/>
        </w:numPr>
        <w:spacing w:line="240" w:lineRule="auto"/>
        <w:rPr>
          <w:rFonts w:ascii="Times New Roman" w:eastAsia="Helvetica" w:hAnsi="Times New Roman" w:cs="Times New Roman"/>
          <w:sz w:val="24"/>
          <w:szCs w:val="24"/>
          <w:shd w:val="clear" w:color="auto" w:fill="FFFFFF"/>
        </w:rPr>
      </w:pPr>
      <w:proofErr w:type="spellStart"/>
      <w:r>
        <w:rPr>
          <w:rFonts w:ascii="Times New Roman" w:eastAsia="Cambria" w:hAnsi="Times New Roman" w:cs="Times New Roman"/>
          <w:color w:val="1B1B1B"/>
          <w:sz w:val="24"/>
          <w:szCs w:val="24"/>
          <w:shd w:val="clear" w:color="auto" w:fill="FFFFFF"/>
        </w:rPr>
        <w:t>Alavian</w:t>
      </w:r>
      <w:proofErr w:type="spellEnd"/>
      <w:r>
        <w:rPr>
          <w:rFonts w:ascii="Times New Roman" w:eastAsia="Cambria" w:hAnsi="Times New Roman" w:cs="Times New Roman"/>
          <w:color w:val="1B1B1B"/>
          <w:sz w:val="24"/>
          <w:szCs w:val="24"/>
          <w:shd w:val="clear" w:color="auto" w:fill="FFFFFF"/>
        </w:rPr>
        <w:t xml:space="preserve"> SM, </w:t>
      </w:r>
      <w:proofErr w:type="spellStart"/>
      <w:r>
        <w:rPr>
          <w:rFonts w:ascii="Times New Roman" w:eastAsia="Cambria" w:hAnsi="Times New Roman" w:cs="Times New Roman"/>
          <w:color w:val="1B1B1B"/>
          <w:sz w:val="24"/>
          <w:szCs w:val="24"/>
          <w:shd w:val="clear" w:color="auto" w:fill="FFFFFF"/>
        </w:rPr>
        <w:t>Showraki</w:t>
      </w:r>
      <w:proofErr w:type="spellEnd"/>
      <w:r>
        <w:rPr>
          <w:rFonts w:ascii="Times New Roman" w:eastAsia="Cambria" w:hAnsi="Times New Roman" w:cs="Times New Roman"/>
          <w:color w:val="1B1B1B"/>
          <w:sz w:val="24"/>
          <w:szCs w:val="24"/>
          <w:shd w:val="clear" w:color="auto" w:fill="FFFFFF"/>
        </w:rPr>
        <w:t xml:space="preserve"> A. (2016). Hepatitis B and its relationship with oxidative stress. </w:t>
      </w:r>
      <w:proofErr w:type="spellStart"/>
      <w:r>
        <w:rPr>
          <w:rFonts w:ascii="Times New Roman" w:eastAsia="Cambria" w:hAnsi="Times New Roman" w:cs="Times New Roman"/>
          <w:color w:val="1B1B1B"/>
          <w:sz w:val="24"/>
          <w:szCs w:val="24"/>
          <w:shd w:val="clear" w:color="auto" w:fill="FFFFFF"/>
        </w:rPr>
        <w:t>Hepat</w:t>
      </w:r>
      <w:proofErr w:type="spellEnd"/>
      <w:r>
        <w:rPr>
          <w:rFonts w:ascii="Times New Roman" w:eastAsia="Cambria" w:hAnsi="Times New Roman" w:cs="Times New Roman"/>
          <w:color w:val="1B1B1B"/>
          <w:sz w:val="24"/>
          <w:szCs w:val="24"/>
          <w:shd w:val="clear" w:color="auto" w:fill="FFFFFF"/>
        </w:rPr>
        <w:t xml:space="preserve"> Mon, 16(e37973) </w:t>
      </w:r>
      <w:proofErr w:type="spellStart"/>
      <w:r>
        <w:rPr>
          <w:rFonts w:ascii="Times New Roman" w:eastAsia="Cambria" w:hAnsi="Times New Roman" w:cs="Times New Roman"/>
          <w:color w:val="1B1B1B"/>
          <w:sz w:val="24"/>
          <w:szCs w:val="24"/>
          <w:shd w:val="clear" w:color="auto" w:fill="FFFFFF"/>
        </w:rPr>
        <w:t>doi</w:t>
      </w:r>
      <w:proofErr w:type="spellEnd"/>
      <w:r>
        <w:rPr>
          <w:rFonts w:ascii="Times New Roman" w:eastAsia="Cambria" w:hAnsi="Times New Roman" w:cs="Times New Roman"/>
          <w:color w:val="1B1B1B"/>
          <w:sz w:val="24"/>
          <w:szCs w:val="24"/>
          <w:shd w:val="clear" w:color="auto" w:fill="FFFFFF"/>
        </w:rPr>
        <w:t>: 10.5812/hepatmon.3797</w:t>
      </w:r>
      <w:r>
        <w:rPr>
          <w:rFonts w:ascii="Times New Roman" w:eastAsia="Cambria" w:hAnsi="Times New Roman" w:cs="Times New Roman"/>
          <w:color w:val="1B1B1B"/>
          <w:sz w:val="24"/>
          <w:szCs w:val="24"/>
          <w:shd w:val="clear" w:color="auto" w:fill="FFFFFF"/>
        </w:rPr>
        <w:t>3. </w:t>
      </w:r>
    </w:p>
    <w:p w14:paraId="13793FCC" w14:textId="77777777" w:rsidR="00294F4C" w:rsidRDefault="00EA23E1">
      <w:pPr>
        <w:numPr>
          <w:ilvl w:val="0"/>
          <w:numId w:val="2"/>
        </w:numPr>
        <w:spacing w:line="240" w:lineRule="auto"/>
        <w:rPr>
          <w:rFonts w:ascii="Times New Roman" w:eastAsia="Helvetica" w:hAnsi="Times New Roman" w:cs="Times New Roman"/>
          <w:sz w:val="24"/>
          <w:szCs w:val="24"/>
          <w:shd w:val="clear" w:color="auto" w:fill="FFFFFF"/>
        </w:rPr>
      </w:pPr>
      <w:proofErr w:type="spellStart"/>
      <w:r>
        <w:rPr>
          <w:rFonts w:ascii="Times New Roman" w:eastAsia="Helvetica" w:hAnsi="Times New Roman" w:cs="Times New Roman"/>
          <w:color w:val="222222"/>
          <w:sz w:val="24"/>
          <w:szCs w:val="24"/>
          <w:shd w:val="clear" w:color="auto" w:fill="FFFFFF"/>
        </w:rPr>
        <w:lastRenderedPageBreak/>
        <w:t>Bayramoglu</w:t>
      </w:r>
      <w:proofErr w:type="spellEnd"/>
      <w:r>
        <w:rPr>
          <w:rFonts w:ascii="Times New Roman" w:eastAsia="Helvetica" w:hAnsi="Times New Roman" w:cs="Times New Roman"/>
          <w:color w:val="222222"/>
          <w:sz w:val="24"/>
          <w:szCs w:val="24"/>
          <w:shd w:val="clear" w:color="auto" w:fill="FFFFFF"/>
        </w:rPr>
        <w:t xml:space="preserve">, G., </w:t>
      </w:r>
      <w:proofErr w:type="spellStart"/>
      <w:r>
        <w:rPr>
          <w:rFonts w:ascii="Times New Roman" w:eastAsia="Helvetica" w:hAnsi="Times New Roman" w:cs="Times New Roman"/>
          <w:color w:val="222222"/>
          <w:sz w:val="24"/>
          <w:szCs w:val="24"/>
          <w:shd w:val="clear" w:color="auto" w:fill="FFFFFF"/>
        </w:rPr>
        <w:t>Bayramoglu</w:t>
      </w:r>
      <w:proofErr w:type="spellEnd"/>
      <w:r>
        <w:rPr>
          <w:rFonts w:ascii="Times New Roman" w:eastAsia="Helvetica" w:hAnsi="Times New Roman" w:cs="Times New Roman"/>
          <w:color w:val="222222"/>
          <w:sz w:val="24"/>
          <w:szCs w:val="24"/>
          <w:shd w:val="clear" w:color="auto" w:fill="FFFFFF"/>
        </w:rPr>
        <w:t xml:space="preserve">, A., </w:t>
      </w:r>
      <w:proofErr w:type="spellStart"/>
      <w:r>
        <w:rPr>
          <w:rFonts w:ascii="Times New Roman" w:eastAsia="Helvetica" w:hAnsi="Times New Roman" w:cs="Times New Roman"/>
          <w:color w:val="222222"/>
          <w:sz w:val="24"/>
          <w:szCs w:val="24"/>
          <w:shd w:val="clear" w:color="auto" w:fill="FFFFFF"/>
        </w:rPr>
        <w:t>Engur</w:t>
      </w:r>
      <w:proofErr w:type="spellEnd"/>
      <w:r>
        <w:rPr>
          <w:rFonts w:ascii="Times New Roman" w:eastAsia="Helvetica" w:hAnsi="Times New Roman" w:cs="Times New Roman"/>
          <w:color w:val="222222"/>
          <w:sz w:val="24"/>
          <w:szCs w:val="24"/>
          <w:shd w:val="clear" w:color="auto" w:fill="FFFFFF"/>
        </w:rPr>
        <w:t>, S. </w:t>
      </w:r>
      <w:r>
        <w:rPr>
          <w:rFonts w:ascii="Times New Roman" w:eastAsia="Helvetica" w:hAnsi="Times New Roman" w:cs="Times New Roman"/>
          <w:i/>
          <w:iCs/>
          <w:color w:val="222222"/>
          <w:sz w:val="24"/>
          <w:szCs w:val="24"/>
          <w:shd w:val="clear" w:color="auto" w:fill="FFFFFF"/>
        </w:rPr>
        <w:t xml:space="preserve">et al. (2014). </w:t>
      </w:r>
      <w:r>
        <w:rPr>
          <w:rFonts w:ascii="Times New Roman" w:eastAsia="Helvetica" w:hAnsi="Times New Roman" w:cs="Times New Roman"/>
          <w:color w:val="222222"/>
          <w:sz w:val="24"/>
          <w:szCs w:val="24"/>
          <w:shd w:val="clear" w:color="auto" w:fill="FFFFFF"/>
        </w:rPr>
        <w:t> The hepatoprotective effects of </w:t>
      </w:r>
      <w:r>
        <w:rPr>
          <w:rFonts w:ascii="Times New Roman" w:eastAsia="Helvetica" w:hAnsi="Times New Roman" w:cs="Times New Roman"/>
          <w:i/>
          <w:iCs/>
          <w:color w:val="222222"/>
          <w:sz w:val="24"/>
          <w:szCs w:val="24"/>
          <w:shd w:val="clear" w:color="auto" w:fill="FFFFFF"/>
        </w:rPr>
        <w:t>Hypericum perforatum</w:t>
      </w:r>
      <w:r>
        <w:rPr>
          <w:rFonts w:ascii="Times New Roman" w:eastAsia="Helvetica" w:hAnsi="Times New Roman" w:cs="Times New Roman"/>
          <w:color w:val="222222"/>
          <w:sz w:val="24"/>
          <w:szCs w:val="24"/>
          <w:shd w:val="clear" w:color="auto" w:fill="FFFFFF"/>
        </w:rPr>
        <w:t> L. on hepatic ischemia/reperfusion injury in rats. </w:t>
      </w:r>
      <w:r>
        <w:rPr>
          <w:rFonts w:ascii="Times New Roman" w:eastAsia="Helvetica" w:hAnsi="Times New Roman" w:cs="Times New Roman"/>
          <w:i/>
          <w:iCs/>
          <w:color w:val="222222"/>
          <w:sz w:val="24"/>
          <w:szCs w:val="24"/>
          <w:shd w:val="clear" w:color="auto" w:fill="FFFFFF"/>
        </w:rPr>
        <w:t>Cytotechnology</w:t>
      </w:r>
      <w:r>
        <w:rPr>
          <w:rFonts w:ascii="Times New Roman" w:eastAsia="Helvetica" w:hAnsi="Times New Roman" w:cs="Times New Roman"/>
          <w:color w:val="222222"/>
          <w:sz w:val="24"/>
          <w:szCs w:val="24"/>
          <w:shd w:val="clear" w:color="auto" w:fill="FFFFFF"/>
        </w:rPr>
        <w:t> </w:t>
      </w:r>
      <w:r>
        <w:rPr>
          <w:rFonts w:ascii="Times New Roman" w:eastAsia="Helvetica" w:hAnsi="Times New Roman" w:cs="Times New Roman"/>
          <w:b/>
          <w:bCs/>
          <w:color w:val="222222"/>
          <w:sz w:val="24"/>
          <w:szCs w:val="24"/>
          <w:shd w:val="clear" w:color="auto" w:fill="FFFFFF"/>
        </w:rPr>
        <w:t>66</w:t>
      </w:r>
      <w:r>
        <w:rPr>
          <w:rFonts w:ascii="Times New Roman" w:eastAsia="Helvetica" w:hAnsi="Times New Roman" w:cs="Times New Roman"/>
          <w:color w:val="222222"/>
          <w:sz w:val="24"/>
          <w:szCs w:val="24"/>
          <w:shd w:val="clear" w:color="auto" w:fill="FFFFFF"/>
        </w:rPr>
        <w:t>, 443–448 (2014).</w:t>
      </w:r>
    </w:p>
    <w:p w14:paraId="2D91213E" w14:textId="77777777" w:rsidR="00294F4C" w:rsidRDefault="00EA23E1">
      <w:pPr>
        <w:numPr>
          <w:ilvl w:val="0"/>
          <w:numId w:val="2"/>
        </w:numPr>
        <w:spacing w:line="240" w:lineRule="auto"/>
        <w:rPr>
          <w:rFonts w:ascii="Times New Roman" w:eastAsia="Helvetica" w:hAnsi="Times New Roman" w:cs="Times New Roman"/>
          <w:sz w:val="24"/>
          <w:szCs w:val="24"/>
          <w:shd w:val="clear" w:color="auto" w:fill="FFFFFF"/>
        </w:rPr>
      </w:pPr>
      <w:r>
        <w:rPr>
          <w:rFonts w:ascii="Times New Roman" w:eastAsia="Helvetica" w:hAnsi="Times New Roman" w:cs="Times New Roman"/>
          <w:color w:val="222222"/>
          <w:sz w:val="24"/>
          <w:szCs w:val="24"/>
          <w:shd w:val="clear" w:color="auto" w:fill="FFFFFF"/>
        </w:rPr>
        <w:t xml:space="preserve">Obulor, A.O. &amp; Orlu, </w:t>
      </w:r>
      <w:proofErr w:type="gramStart"/>
      <w:r>
        <w:rPr>
          <w:rFonts w:ascii="Times New Roman" w:eastAsia="Helvetica" w:hAnsi="Times New Roman" w:cs="Times New Roman"/>
          <w:color w:val="222222"/>
          <w:sz w:val="24"/>
          <w:szCs w:val="24"/>
          <w:shd w:val="clear" w:color="auto" w:fill="FFFFFF"/>
        </w:rPr>
        <w:t>E.E.(</w:t>
      </w:r>
      <w:proofErr w:type="gramEnd"/>
      <w:r>
        <w:rPr>
          <w:rFonts w:ascii="Times New Roman" w:eastAsia="Helvetica" w:hAnsi="Times New Roman" w:cs="Times New Roman"/>
          <w:color w:val="222222"/>
          <w:sz w:val="24"/>
          <w:szCs w:val="24"/>
          <w:shd w:val="clear" w:color="auto" w:fill="FFFFFF"/>
        </w:rPr>
        <w:t>2018). Inhibitory activity of</w:t>
      </w:r>
      <w:r>
        <w:rPr>
          <w:rFonts w:ascii="Times New Roman" w:eastAsia="Helvetica" w:hAnsi="Times New Roman" w:cs="Times New Roman"/>
          <w:color w:val="222222"/>
          <w:sz w:val="24"/>
          <w:szCs w:val="24"/>
          <w:shd w:val="clear" w:color="auto" w:fill="FFFFFF"/>
        </w:rPr>
        <w:t xml:space="preserve"> lycopene on Cypermethrin-Induced hepatotoxicity and liver injury in male </w:t>
      </w:r>
      <w:proofErr w:type="spellStart"/>
      <w:r>
        <w:rPr>
          <w:rFonts w:ascii="Times New Roman" w:eastAsia="Helvetica" w:hAnsi="Times New Roman" w:cs="Times New Roman"/>
          <w:color w:val="222222"/>
          <w:sz w:val="24"/>
          <w:szCs w:val="24"/>
          <w:shd w:val="clear" w:color="auto" w:fill="FFFFFF"/>
        </w:rPr>
        <w:t>sprague</w:t>
      </w:r>
      <w:proofErr w:type="spellEnd"/>
      <w:r>
        <w:rPr>
          <w:rFonts w:ascii="Times New Roman" w:eastAsia="Helvetica" w:hAnsi="Times New Roman" w:cs="Times New Roman"/>
          <w:color w:val="222222"/>
          <w:sz w:val="24"/>
          <w:szCs w:val="24"/>
          <w:shd w:val="clear" w:color="auto" w:fill="FFFFFF"/>
        </w:rPr>
        <w:t>-Dawley rats. Journal of Pharmacy and Biological Sciences, 13(1), 63-73.</w:t>
      </w:r>
    </w:p>
    <w:p w14:paraId="33B520D7" w14:textId="77777777" w:rsidR="00294F4C" w:rsidRDefault="00EA23E1">
      <w:pPr>
        <w:numPr>
          <w:ilvl w:val="0"/>
          <w:numId w:val="2"/>
        </w:numPr>
        <w:spacing w:line="240" w:lineRule="auto"/>
        <w:rPr>
          <w:rFonts w:ascii="Times New Roman" w:eastAsia="Helvetica" w:hAnsi="Times New Roman" w:cs="Times New Roman"/>
          <w:sz w:val="24"/>
          <w:szCs w:val="24"/>
          <w:shd w:val="clear" w:color="auto" w:fill="FFFFFF"/>
        </w:rPr>
      </w:pPr>
      <w:proofErr w:type="spellStart"/>
      <w:proofErr w:type="gramStart"/>
      <w:r>
        <w:rPr>
          <w:rFonts w:ascii="Times New Roman" w:eastAsia="Helvetica" w:hAnsi="Times New Roman" w:cs="Times New Roman"/>
          <w:sz w:val="24"/>
          <w:szCs w:val="24"/>
          <w:shd w:val="clear" w:color="auto" w:fill="FFFFFF"/>
        </w:rPr>
        <w:t>Obulor,A.O</w:t>
      </w:r>
      <w:proofErr w:type="spellEnd"/>
      <w:r>
        <w:rPr>
          <w:rFonts w:ascii="Times New Roman" w:eastAsia="Helvetica" w:hAnsi="Times New Roman" w:cs="Times New Roman"/>
          <w:sz w:val="24"/>
          <w:szCs w:val="24"/>
          <w:shd w:val="clear" w:color="auto" w:fill="FFFFFF"/>
        </w:rPr>
        <w:t>.</w:t>
      </w:r>
      <w:proofErr w:type="gramEnd"/>
      <w:r>
        <w:rPr>
          <w:rFonts w:ascii="Times New Roman" w:eastAsia="Helvetica" w:hAnsi="Times New Roman" w:cs="Times New Roman"/>
          <w:sz w:val="24"/>
          <w:szCs w:val="24"/>
          <w:shd w:val="clear" w:color="auto" w:fill="FFFFFF"/>
        </w:rPr>
        <w:t xml:space="preserve"> &amp; Orlu, E.E. (2021). Comparative evaluation of different local spices on Hepatic functions in male mice exposed to Lambda-Cyhalothrin. Asian Journal of Biology, 13(4), 71-81.</w:t>
      </w:r>
    </w:p>
    <w:p w14:paraId="46B99F5D" w14:textId="77777777" w:rsidR="00294F4C" w:rsidRDefault="00EA23E1">
      <w:pPr>
        <w:numPr>
          <w:ilvl w:val="0"/>
          <w:numId w:val="2"/>
        </w:numPr>
        <w:spacing w:line="240" w:lineRule="auto"/>
        <w:rPr>
          <w:rFonts w:ascii="Times New Roman" w:eastAsia="Helvetica" w:hAnsi="Times New Roman" w:cs="Times New Roman"/>
          <w:sz w:val="24"/>
          <w:szCs w:val="24"/>
          <w:shd w:val="clear" w:color="auto" w:fill="FFFFFF"/>
        </w:rPr>
      </w:pPr>
      <w:r>
        <w:rPr>
          <w:rFonts w:ascii="Times New Roman" w:eastAsia="Consolas" w:hAnsi="Times New Roman" w:cs="Times New Roman"/>
          <w:color w:val="1B1B1B"/>
          <w:sz w:val="24"/>
          <w:szCs w:val="24"/>
          <w:shd w:val="clear" w:color="auto" w:fill="FFFFFF"/>
        </w:rPr>
        <w:t xml:space="preserve">Akbulut, S., </w:t>
      </w:r>
      <w:proofErr w:type="spellStart"/>
      <w:r>
        <w:rPr>
          <w:rFonts w:ascii="Times New Roman" w:eastAsia="Consolas" w:hAnsi="Times New Roman" w:cs="Times New Roman"/>
          <w:color w:val="1B1B1B"/>
          <w:sz w:val="24"/>
          <w:szCs w:val="24"/>
          <w:shd w:val="clear" w:color="auto" w:fill="FFFFFF"/>
        </w:rPr>
        <w:t>Sevmis</w:t>
      </w:r>
      <w:proofErr w:type="spellEnd"/>
      <w:r>
        <w:rPr>
          <w:rFonts w:ascii="Times New Roman" w:eastAsia="Consolas" w:hAnsi="Times New Roman" w:cs="Times New Roman"/>
          <w:color w:val="1B1B1B"/>
          <w:sz w:val="24"/>
          <w:szCs w:val="24"/>
          <w:shd w:val="clear" w:color="auto" w:fill="FFFFFF"/>
        </w:rPr>
        <w:t xml:space="preserve"> S, </w:t>
      </w:r>
      <w:proofErr w:type="spellStart"/>
      <w:r>
        <w:rPr>
          <w:rFonts w:ascii="Times New Roman" w:eastAsia="Consolas" w:hAnsi="Times New Roman" w:cs="Times New Roman"/>
          <w:color w:val="1B1B1B"/>
          <w:sz w:val="24"/>
          <w:szCs w:val="24"/>
          <w:shd w:val="clear" w:color="auto" w:fill="FFFFFF"/>
        </w:rPr>
        <w:t>Karakayali</w:t>
      </w:r>
      <w:proofErr w:type="spellEnd"/>
      <w:r>
        <w:rPr>
          <w:rFonts w:ascii="Times New Roman" w:eastAsia="Consolas" w:hAnsi="Times New Roman" w:cs="Times New Roman"/>
          <w:color w:val="1B1B1B"/>
          <w:sz w:val="24"/>
          <w:szCs w:val="24"/>
          <w:shd w:val="clear" w:color="auto" w:fill="FFFFFF"/>
        </w:rPr>
        <w:t xml:space="preserve"> H, </w:t>
      </w:r>
      <w:proofErr w:type="spellStart"/>
      <w:r>
        <w:rPr>
          <w:rFonts w:ascii="Times New Roman" w:eastAsia="Consolas" w:hAnsi="Times New Roman" w:cs="Times New Roman"/>
          <w:color w:val="1B1B1B"/>
          <w:sz w:val="24"/>
          <w:szCs w:val="24"/>
          <w:shd w:val="clear" w:color="auto" w:fill="FFFFFF"/>
        </w:rPr>
        <w:t>Bayraktar</w:t>
      </w:r>
      <w:proofErr w:type="spellEnd"/>
      <w:r>
        <w:rPr>
          <w:rFonts w:ascii="Times New Roman" w:eastAsia="Consolas" w:hAnsi="Times New Roman" w:cs="Times New Roman"/>
          <w:color w:val="1B1B1B"/>
          <w:sz w:val="24"/>
          <w:szCs w:val="24"/>
          <w:shd w:val="clear" w:color="auto" w:fill="FFFFFF"/>
        </w:rPr>
        <w:t xml:space="preserve"> N, </w:t>
      </w:r>
      <w:proofErr w:type="spellStart"/>
      <w:r>
        <w:rPr>
          <w:rFonts w:ascii="Times New Roman" w:eastAsia="Consolas" w:hAnsi="Times New Roman" w:cs="Times New Roman"/>
          <w:color w:val="1B1B1B"/>
          <w:sz w:val="24"/>
          <w:szCs w:val="24"/>
          <w:shd w:val="clear" w:color="auto" w:fill="FFFFFF"/>
        </w:rPr>
        <w:t>Unlukaplan</w:t>
      </w:r>
      <w:proofErr w:type="spellEnd"/>
      <w:r>
        <w:rPr>
          <w:rFonts w:ascii="Times New Roman" w:eastAsia="Consolas" w:hAnsi="Times New Roman" w:cs="Times New Roman"/>
          <w:color w:val="1B1B1B"/>
          <w:sz w:val="24"/>
          <w:szCs w:val="24"/>
          <w:shd w:val="clear" w:color="auto" w:fill="FFFFFF"/>
        </w:rPr>
        <w:t xml:space="preserve"> M, </w:t>
      </w:r>
      <w:proofErr w:type="spellStart"/>
      <w:r>
        <w:rPr>
          <w:rFonts w:ascii="Times New Roman" w:eastAsia="Consolas" w:hAnsi="Times New Roman" w:cs="Times New Roman"/>
          <w:color w:val="1B1B1B"/>
          <w:sz w:val="24"/>
          <w:szCs w:val="24"/>
          <w:shd w:val="clear" w:color="auto" w:fill="FFFFFF"/>
        </w:rPr>
        <w:t>Oksuz</w:t>
      </w:r>
      <w:proofErr w:type="spellEnd"/>
      <w:r>
        <w:rPr>
          <w:rFonts w:ascii="Times New Roman" w:eastAsia="Consolas" w:hAnsi="Times New Roman" w:cs="Times New Roman"/>
          <w:color w:val="1B1B1B"/>
          <w:sz w:val="24"/>
          <w:szCs w:val="24"/>
          <w:shd w:val="clear" w:color="auto" w:fill="FFFFFF"/>
        </w:rPr>
        <w:t xml:space="preserve"> E. &amp; Dagde</w:t>
      </w:r>
      <w:r>
        <w:rPr>
          <w:rFonts w:ascii="Times New Roman" w:eastAsia="Consolas" w:hAnsi="Times New Roman" w:cs="Times New Roman"/>
          <w:color w:val="1B1B1B"/>
          <w:sz w:val="24"/>
          <w:szCs w:val="24"/>
          <w:shd w:val="clear" w:color="auto" w:fill="FFFFFF"/>
        </w:rPr>
        <w:t xml:space="preserve">viren </w:t>
      </w:r>
      <w:proofErr w:type="gramStart"/>
      <w:r>
        <w:rPr>
          <w:rFonts w:ascii="Times New Roman" w:eastAsia="Consolas" w:hAnsi="Times New Roman" w:cs="Times New Roman"/>
          <w:color w:val="1B1B1B"/>
          <w:sz w:val="24"/>
          <w:szCs w:val="24"/>
          <w:shd w:val="clear" w:color="auto" w:fill="FFFFFF"/>
        </w:rPr>
        <w:t>A.(</w:t>
      </w:r>
      <w:proofErr w:type="gramEnd"/>
      <w:r>
        <w:rPr>
          <w:rFonts w:ascii="Times New Roman" w:eastAsia="Consolas" w:hAnsi="Times New Roman" w:cs="Times New Roman"/>
          <w:color w:val="1B1B1B"/>
          <w:sz w:val="24"/>
          <w:szCs w:val="24"/>
          <w:shd w:val="clear" w:color="auto" w:fill="FFFFFF"/>
        </w:rPr>
        <w:t xml:space="preserve">2014). </w:t>
      </w:r>
      <w:proofErr w:type="spellStart"/>
      <w:r>
        <w:rPr>
          <w:rFonts w:ascii="Times New Roman" w:eastAsia="Consolas" w:hAnsi="Times New Roman" w:cs="Times New Roman"/>
          <w:color w:val="1B1B1B"/>
          <w:sz w:val="24"/>
          <w:szCs w:val="24"/>
          <w:shd w:val="clear" w:color="auto" w:fill="FFFFFF"/>
        </w:rPr>
        <w:t>Amifostine</w:t>
      </w:r>
      <w:proofErr w:type="spellEnd"/>
      <w:r>
        <w:rPr>
          <w:rFonts w:ascii="Times New Roman" w:eastAsia="Consolas" w:hAnsi="Times New Roman" w:cs="Times New Roman"/>
          <w:color w:val="1B1B1B"/>
          <w:sz w:val="24"/>
          <w:szCs w:val="24"/>
          <w:shd w:val="clear" w:color="auto" w:fill="FFFFFF"/>
        </w:rPr>
        <w:t xml:space="preserve"> enhances the antioxidant and hepatoprotective effects of UW and HTK preservation solutions. World J Gastroenterol, 20(34):12292-300. </w:t>
      </w:r>
    </w:p>
    <w:p w14:paraId="5A2382A8" w14:textId="77777777" w:rsidR="00294F4C" w:rsidRDefault="00294F4C">
      <w:pPr>
        <w:spacing w:line="240" w:lineRule="auto"/>
        <w:rPr>
          <w:rFonts w:ascii="Times New Roman" w:hAnsi="Times New Roman" w:cs="Times New Roman"/>
          <w:sz w:val="24"/>
          <w:szCs w:val="24"/>
        </w:rPr>
      </w:pPr>
    </w:p>
    <w:sectPr w:rsidR="00294F4C">
      <w:headerReference w:type="even" r:id="rId13"/>
      <w:headerReference w:type="default" r:id="rId14"/>
      <w:footerReference w:type="even" r:id="rId15"/>
      <w:footerReference w:type="default" r:id="rId16"/>
      <w:headerReference w:type="first" r:id="rId17"/>
      <w:footerReference w:type="first" r:id="rId18"/>
      <w:pgSz w:w="12240" w:h="15840"/>
      <w:pgMar w:top="1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C8790" w14:textId="77777777" w:rsidR="00EA23E1" w:rsidRDefault="00EA23E1">
      <w:pPr>
        <w:spacing w:line="240" w:lineRule="auto"/>
      </w:pPr>
      <w:r>
        <w:separator/>
      </w:r>
    </w:p>
  </w:endnote>
  <w:endnote w:type="continuationSeparator" w:id="0">
    <w:p w14:paraId="23978611" w14:textId="77777777" w:rsidR="00EA23E1" w:rsidRDefault="00EA2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ans-serif">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5E120" w14:textId="77777777" w:rsidR="007C5586" w:rsidRDefault="007C5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B22E5" w14:textId="77777777" w:rsidR="007C5586" w:rsidRDefault="007C55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D8D5B" w14:textId="77777777" w:rsidR="007C5586" w:rsidRDefault="007C5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3DA41" w14:textId="77777777" w:rsidR="00EA23E1" w:rsidRDefault="00EA23E1">
      <w:pPr>
        <w:spacing w:after="0"/>
      </w:pPr>
      <w:r>
        <w:separator/>
      </w:r>
    </w:p>
  </w:footnote>
  <w:footnote w:type="continuationSeparator" w:id="0">
    <w:p w14:paraId="71ADF987" w14:textId="77777777" w:rsidR="00EA23E1" w:rsidRDefault="00EA23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2883" w14:textId="4AC68A3D" w:rsidR="007C5586" w:rsidRDefault="007C5586">
    <w:pPr>
      <w:pStyle w:val="Header"/>
    </w:pPr>
    <w:r>
      <w:rPr>
        <w:noProof/>
      </w:rPr>
      <w:pict w14:anchorId="441A9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82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39110" w14:textId="7C30C90F" w:rsidR="007C5586" w:rsidRDefault="007C5586">
    <w:pPr>
      <w:pStyle w:val="Header"/>
    </w:pPr>
    <w:r>
      <w:rPr>
        <w:noProof/>
      </w:rPr>
      <w:pict w14:anchorId="0D407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82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BCF0B" w14:textId="0F8E6DBF" w:rsidR="007C5586" w:rsidRDefault="007C5586">
    <w:pPr>
      <w:pStyle w:val="Header"/>
    </w:pPr>
    <w:r>
      <w:rPr>
        <w:noProof/>
      </w:rPr>
      <w:pict w14:anchorId="24F61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82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43C5E5"/>
    <w:multiLevelType w:val="singleLevel"/>
    <w:tmpl w:val="9343C5E5"/>
    <w:lvl w:ilvl="0">
      <w:start w:val="1"/>
      <w:numFmt w:val="decimal"/>
      <w:suff w:val="space"/>
      <w:lvlText w:val="%1."/>
      <w:lvlJc w:val="left"/>
    </w:lvl>
  </w:abstractNum>
  <w:abstractNum w:abstractNumId="1" w15:restartNumberingAfterBreak="0">
    <w:nsid w:val="A0706870"/>
    <w:multiLevelType w:val="singleLevel"/>
    <w:tmpl w:val="A0706870"/>
    <w:lvl w:ilvl="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FD3249"/>
    <w:rsid w:val="00031653"/>
    <w:rsid w:val="00070A41"/>
    <w:rsid w:val="00082C10"/>
    <w:rsid w:val="001139F1"/>
    <w:rsid w:val="00130FC2"/>
    <w:rsid w:val="00140835"/>
    <w:rsid w:val="001B7DF7"/>
    <w:rsid w:val="001F67C0"/>
    <w:rsid w:val="00235DD8"/>
    <w:rsid w:val="00263A5D"/>
    <w:rsid w:val="00290991"/>
    <w:rsid w:val="00294F4C"/>
    <w:rsid w:val="002C7D4C"/>
    <w:rsid w:val="00390368"/>
    <w:rsid w:val="003C3490"/>
    <w:rsid w:val="003D7910"/>
    <w:rsid w:val="004219B9"/>
    <w:rsid w:val="00433E12"/>
    <w:rsid w:val="00462234"/>
    <w:rsid w:val="004964FF"/>
    <w:rsid w:val="004B3E62"/>
    <w:rsid w:val="004E0FEC"/>
    <w:rsid w:val="004E2859"/>
    <w:rsid w:val="004E339C"/>
    <w:rsid w:val="00512368"/>
    <w:rsid w:val="00684F82"/>
    <w:rsid w:val="0068741A"/>
    <w:rsid w:val="00737B4B"/>
    <w:rsid w:val="00741E35"/>
    <w:rsid w:val="0077000E"/>
    <w:rsid w:val="0078355A"/>
    <w:rsid w:val="007A0AD7"/>
    <w:rsid w:val="007C5586"/>
    <w:rsid w:val="007C6898"/>
    <w:rsid w:val="007F02E8"/>
    <w:rsid w:val="009C5AA6"/>
    <w:rsid w:val="009C7E47"/>
    <w:rsid w:val="009D0EB0"/>
    <w:rsid w:val="009D5E8C"/>
    <w:rsid w:val="00A4085E"/>
    <w:rsid w:val="00B878C6"/>
    <w:rsid w:val="00C64A5E"/>
    <w:rsid w:val="00CA5E86"/>
    <w:rsid w:val="00CC1A8F"/>
    <w:rsid w:val="00CD2929"/>
    <w:rsid w:val="00CD791F"/>
    <w:rsid w:val="00D30D56"/>
    <w:rsid w:val="00DA77CE"/>
    <w:rsid w:val="00E17F92"/>
    <w:rsid w:val="00EA23E1"/>
    <w:rsid w:val="00FC4BDA"/>
    <w:rsid w:val="00FD206B"/>
    <w:rsid w:val="00FD3249"/>
    <w:rsid w:val="011A2F5F"/>
    <w:rsid w:val="0197640F"/>
    <w:rsid w:val="05854E9B"/>
    <w:rsid w:val="0B00018C"/>
    <w:rsid w:val="11B02326"/>
    <w:rsid w:val="19BD3852"/>
    <w:rsid w:val="1A7438BA"/>
    <w:rsid w:val="25226F73"/>
    <w:rsid w:val="2DC13AE6"/>
    <w:rsid w:val="359E2FC5"/>
    <w:rsid w:val="35CF2253"/>
    <w:rsid w:val="3F970061"/>
    <w:rsid w:val="53D450D6"/>
    <w:rsid w:val="546F7495"/>
    <w:rsid w:val="570F10E9"/>
    <w:rsid w:val="5B626E11"/>
    <w:rsid w:val="5DB95BC5"/>
    <w:rsid w:val="5EFC68C1"/>
    <w:rsid w:val="6808092F"/>
    <w:rsid w:val="6B017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2923766C"/>
  <w15:docId w15:val="{B9BD4846-1066-40AD-9266-0B06E91B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uiPriority w:val="9"/>
    <w:unhideWhenUsed/>
    <w:qFormat/>
    <w:pPr>
      <w:keepNext/>
      <w:keepLines/>
      <w:jc w:val="both"/>
      <w:outlineLvl w:val="1"/>
    </w:pPr>
    <w:rPr>
      <w:rFonts w:ascii="Arial" w:eastAsiaTheme="majorEastAsia" w:hAnsi="Arial" w:cstheme="majorBidi"/>
      <w:b/>
      <w:bCs/>
      <w:sz w:val="22"/>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uiPriority w:val="1"/>
    <w:qFormat/>
    <w:pPr>
      <w:ind w:left="100"/>
    </w:pPr>
    <w:rPr>
      <w:rFonts w:ascii="Gill Sans MT" w:eastAsia="Gill Sans MT" w:hAnsi="Gill Sans MT"/>
      <w:i/>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ite">
    <w:name w:val="HTML Cite"/>
    <w:basedOn w:val="DefaultParagraphFont"/>
    <w:qFormat/>
    <w:rPr>
      <w:i/>
      <w:iCs/>
    </w:rPr>
  </w:style>
  <w:style w:type="character" w:styleId="Hyperlink">
    <w:name w:val="Hyperlink"/>
    <w:basedOn w:val="DefaultParagraphFont"/>
    <w:uiPriority w:val="99"/>
    <w:semiHidden/>
    <w:unhideWhenUsed/>
    <w:qFormat/>
    <w:rPr>
      <w:color w:val="0000FF"/>
      <w:u w:val="single"/>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sweet\Documents\BSC%20RAW%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sweet\Documents\BSC%20RAW%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5470680745899801"/>
          <c:y val="5.1140544518027999E-2"/>
          <c:w val="0.81473826106492897"/>
          <c:h val="0.71942604856512105"/>
        </c:manualLayout>
      </c:layout>
      <c:barChart>
        <c:barDir val="col"/>
        <c:grouping val="clustered"/>
        <c:varyColors val="0"/>
        <c:ser>
          <c:idx val="0"/>
          <c:order val="0"/>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prstDash val="solid"/>
                <a:round/>
              </a:ln>
              <a:effectLst/>
            </c:spPr>
          </c:errBars>
          <c:cat>
            <c:strRef>
              <c:f>Sheet9!$J$2:$J$6</c:f>
              <c:strCache>
                <c:ptCount val="5"/>
                <c:pt idx="0">
                  <c:v>A</c:v>
                </c:pt>
                <c:pt idx="1">
                  <c:v>B</c:v>
                </c:pt>
                <c:pt idx="2">
                  <c:v>C</c:v>
                </c:pt>
                <c:pt idx="3">
                  <c:v>D</c:v>
                </c:pt>
                <c:pt idx="4">
                  <c:v>E</c:v>
                </c:pt>
              </c:strCache>
            </c:strRef>
          </c:cat>
          <c:val>
            <c:numRef>
              <c:f>Sheet9!$K$2:$K$6</c:f>
              <c:numCache>
                <c:formatCode>General</c:formatCode>
                <c:ptCount val="5"/>
                <c:pt idx="0">
                  <c:v>0.98</c:v>
                </c:pt>
                <c:pt idx="1">
                  <c:v>0.72000000000000097</c:v>
                </c:pt>
                <c:pt idx="2">
                  <c:v>1.98</c:v>
                </c:pt>
                <c:pt idx="3">
                  <c:v>2.41</c:v>
                </c:pt>
                <c:pt idx="4">
                  <c:v>2.52</c:v>
                </c:pt>
              </c:numCache>
            </c:numRef>
          </c:val>
          <c:extLst>
            <c:ext xmlns:c16="http://schemas.microsoft.com/office/drawing/2014/chart" uri="{C3380CC4-5D6E-409C-BE32-E72D297353CC}">
              <c16:uniqueId val="{00000000-9BC6-4110-8D42-022A2C29C88D}"/>
            </c:ext>
          </c:extLst>
        </c:ser>
        <c:dLbls>
          <c:showLegendKey val="0"/>
          <c:showVal val="0"/>
          <c:showCatName val="0"/>
          <c:showSerName val="0"/>
          <c:showPercent val="0"/>
          <c:showBubbleSize val="0"/>
        </c:dLbls>
        <c:gapWidth val="219"/>
        <c:axId val="95258496"/>
        <c:axId val="95264768"/>
      </c:barChart>
      <c:catAx>
        <c:axId val="95258496"/>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sz="800" b="1"/>
                  <a:t>TREATMENT GROUPS</a:t>
                </a:r>
              </a:p>
            </c:rich>
          </c:tx>
          <c:overlay val="0"/>
          <c:spPr>
            <a:noFill/>
            <a:ln>
              <a:noFill/>
            </a:ln>
            <a:effectLst/>
          </c:spPr>
        </c:title>
        <c:numFmt formatCode="General" sourceLinked="1"/>
        <c:majorTickMark val="none"/>
        <c:minorTickMark val="out"/>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95264768"/>
        <c:crosses val="autoZero"/>
        <c:auto val="1"/>
        <c:lblAlgn val="ctr"/>
        <c:lblOffset val="100"/>
        <c:noMultiLvlLbl val="0"/>
      </c:catAx>
      <c:valAx>
        <c:axId val="95264768"/>
        <c:scaling>
          <c:orientation val="minMax"/>
        </c:scaling>
        <c:delete val="0"/>
        <c:axPos val="l"/>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sz="800" b="1"/>
                  <a:t>Conc. of GSH (umol/l</a:t>
                </a:r>
                <a:r>
                  <a:rPr lang="en-US" b="1"/>
                  <a:t>)</a:t>
                </a:r>
              </a:p>
            </c:rich>
          </c:tx>
          <c:layout>
            <c:manualLayout>
              <c:xMode val="edge"/>
              <c:yMode val="edge"/>
              <c:x val="1.0244236498683701E-2"/>
              <c:y val="0.153679175864606"/>
            </c:manualLayout>
          </c:layout>
          <c:overlay val="0"/>
          <c:spPr>
            <a:noFill/>
            <a:ln>
              <a:noFill/>
            </a:ln>
            <a:effectLst/>
          </c:spPr>
        </c:title>
        <c:numFmt formatCode="General" sourceLinked="1"/>
        <c:majorTickMark val="out"/>
        <c:minorTickMark val="none"/>
        <c:tickLblPos val="nextTo"/>
        <c:spPr>
          <a:noFill/>
          <a:ln w="9525" cap="flat" cmpd="sng" algn="ctr">
            <a:solidFill>
              <a:schemeClr val="accent1"/>
            </a:solid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95258496"/>
        <c:crossesAt val="1"/>
        <c:crossBetween val="between"/>
      </c:valAx>
      <c:spPr>
        <a:noFill/>
        <a:ln>
          <a:noFill/>
        </a:ln>
        <a:effectLst/>
      </c:spPr>
    </c:plotArea>
    <c:plotVisOnly val="1"/>
    <c:dispBlanksAs val="gap"/>
    <c:showDLblsOverMax val="0"/>
    <c:extLst>
      <c:ext uri="{0b15fc19-7d7d-44ad-8c2d-2c3a37ce22c3}">
        <chartProps xmlns="https://web.wps.cn/et/2018/main" chartId="{d477a6cb-ea27-458f-a991-269c0f564b6f}"/>
      </c:ext>
    </c:extLst>
  </c:chart>
  <c:spPr>
    <a:solidFill>
      <a:schemeClr val="bg1"/>
    </a:solidFill>
    <a:ln w="9525" cap="flat" cmpd="sng" algn="ctr">
      <a:solidFill>
        <a:schemeClr val="accent1"/>
      </a:solidFill>
      <a:prstDash val="solid"/>
      <a:round/>
    </a:ln>
    <a:effectLst/>
  </c:spPr>
  <c:txPr>
    <a:bodyPr/>
    <a:lstStyle/>
    <a:p>
      <a:pPr>
        <a:defRPr lang="en-US" b="1"/>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5337680484396801"/>
          <c:y val="8.2120194102277E-2"/>
          <c:w val="0.79538891476478801"/>
          <c:h val="0.697797685703621"/>
        </c:manualLayout>
      </c:layout>
      <c:barChart>
        <c:barDir val="col"/>
        <c:grouping val="clustered"/>
        <c:varyColors val="0"/>
        <c:ser>
          <c:idx val="0"/>
          <c:order val="0"/>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prstDash val="solid"/>
                <a:round/>
              </a:ln>
              <a:effectLst/>
            </c:spPr>
          </c:errBars>
          <c:cat>
            <c:strRef>
              <c:f>Sheet9!$G$2:$G$6</c:f>
              <c:strCache>
                <c:ptCount val="5"/>
                <c:pt idx="0">
                  <c:v>A</c:v>
                </c:pt>
                <c:pt idx="1">
                  <c:v>B</c:v>
                </c:pt>
                <c:pt idx="2">
                  <c:v>C</c:v>
                </c:pt>
                <c:pt idx="3">
                  <c:v>D</c:v>
                </c:pt>
                <c:pt idx="4">
                  <c:v>E</c:v>
                </c:pt>
              </c:strCache>
            </c:strRef>
          </c:cat>
          <c:val>
            <c:numRef>
              <c:f>Sheet9!$H$2:$H$6</c:f>
              <c:numCache>
                <c:formatCode>General</c:formatCode>
                <c:ptCount val="5"/>
                <c:pt idx="0">
                  <c:v>4.21</c:v>
                </c:pt>
                <c:pt idx="1">
                  <c:v>3.12</c:v>
                </c:pt>
                <c:pt idx="2">
                  <c:v>4.96</c:v>
                </c:pt>
                <c:pt idx="3">
                  <c:v>5.81</c:v>
                </c:pt>
                <c:pt idx="4">
                  <c:v>4.8499999999999996</c:v>
                </c:pt>
              </c:numCache>
            </c:numRef>
          </c:val>
          <c:extLst>
            <c:ext xmlns:c16="http://schemas.microsoft.com/office/drawing/2014/chart" uri="{C3380CC4-5D6E-409C-BE32-E72D297353CC}">
              <c16:uniqueId val="{00000000-E43B-44D0-8E48-C42EE44122E5}"/>
            </c:ext>
          </c:extLst>
        </c:ser>
        <c:dLbls>
          <c:showLegendKey val="0"/>
          <c:showVal val="0"/>
          <c:showCatName val="0"/>
          <c:showSerName val="0"/>
          <c:showPercent val="0"/>
          <c:showBubbleSize val="0"/>
        </c:dLbls>
        <c:gapWidth val="219"/>
        <c:overlap val="-27"/>
        <c:axId val="74870144"/>
        <c:axId val="102721024"/>
      </c:barChart>
      <c:catAx>
        <c:axId val="7487014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800" b="1"/>
                  <a:t>TREATMENT GROUPS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102721024"/>
        <c:crosses val="autoZero"/>
        <c:auto val="1"/>
        <c:lblAlgn val="ctr"/>
        <c:lblOffset val="100"/>
        <c:noMultiLvlLbl val="0"/>
      </c:catAx>
      <c:valAx>
        <c:axId val="10272102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800" b="1"/>
                  <a:t>Conc. of CAT (u/ml)</a:t>
                </a:r>
              </a:p>
            </c:rich>
          </c:tx>
          <c:layout>
            <c:manualLayout>
              <c:xMode val="edge"/>
              <c:yMode val="edge"/>
              <c:x val="2.56171401956218E-2"/>
              <c:y val="0.21929824561403499"/>
            </c:manualLayout>
          </c:layout>
          <c:overlay val="0"/>
          <c:spPr>
            <a:noFill/>
            <a:ln>
              <a:noFill/>
            </a:ln>
            <a:effectLst/>
          </c:spPr>
        </c:title>
        <c:numFmt formatCode="General" sourceLinked="1"/>
        <c:majorTickMark val="out"/>
        <c:minorTickMark val="none"/>
        <c:tickLblPos val="nextTo"/>
        <c:spPr>
          <a:noFill/>
          <a:ln w="9525" cap="flat" cmpd="sng" algn="ctr">
            <a:solidFill>
              <a:schemeClr val="accent1"/>
            </a:solid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74870144"/>
        <c:crosses val="autoZero"/>
        <c:crossBetween val="between"/>
      </c:valAx>
      <c:spPr>
        <a:noFill/>
        <a:ln>
          <a:noFill/>
        </a:ln>
        <a:effectLst/>
      </c:spPr>
    </c:plotArea>
    <c:plotVisOnly val="1"/>
    <c:dispBlanksAs val="gap"/>
    <c:showDLblsOverMax val="0"/>
    <c:extLst>
      <c:ext uri="{0b15fc19-7d7d-44ad-8c2d-2c3a37ce22c3}">
        <chartProps xmlns="https://web.wps.cn/et/2018/main" chartId="{f4a423d8-243b-4cbe-b8f6-a0addd8f3c51}"/>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6293241695303601"/>
          <c:y val="6.2399999999999997E-2"/>
          <c:w val="0.78575028636884303"/>
          <c:h val="0.70311999999999997"/>
        </c:manualLayout>
      </c:layout>
      <c:barChart>
        <c:barDir val="col"/>
        <c:grouping val="clustered"/>
        <c:varyColors val="0"/>
        <c:ser>
          <c:idx val="0"/>
          <c:order val="0"/>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prstDash val="solid"/>
                <a:round/>
              </a:ln>
              <a:effectLst/>
            </c:spPr>
          </c:errBars>
          <c:cat>
            <c:strRef>
              <c:f>Sheet9!$A$2:$A$6</c:f>
              <c:strCache>
                <c:ptCount val="5"/>
                <c:pt idx="0">
                  <c:v>A</c:v>
                </c:pt>
                <c:pt idx="1">
                  <c:v>B</c:v>
                </c:pt>
                <c:pt idx="2">
                  <c:v>C</c:v>
                </c:pt>
                <c:pt idx="3">
                  <c:v>D</c:v>
                </c:pt>
                <c:pt idx="4">
                  <c:v>E</c:v>
                </c:pt>
              </c:strCache>
            </c:strRef>
          </c:cat>
          <c:val>
            <c:numRef>
              <c:f>Sheet9!$B$2:$B$6</c:f>
              <c:numCache>
                <c:formatCode>General</c:formatCode>
                <c:ptCount val="5"/>
                <c:pt idx="0">
                  <c:v>0.52</c:v>
                </c:pt>
                <c:pt idx="1">
                  <c:v>0.87000000000000299</c:v>
                </c:pt>
                <c:pt idx="2">
                  <c:v>0.57999999999999996</c:v>
                </c:pt>
                <c:pt idx="3">
                  <c:v>0.61000000000000099</c:v>
                </c:pt>
                <c:pt idx="4">
                  <c:v>0.630000000000003</c:v>
                </c:pt>
              </c:numCache>
            </c:numRef>
          </c:val>
          <c:extLst>
            <c:ext xmlns:c16="http://schemas.microsoft.com/office/drawing/2014/chart" uri="{C3380CC4-5D6E-409C-BE32-E72D297353CC}">
              <c16:uniqueId val="{00000000-CCAD-4CF2-97B1-65F3EB34A632}"/>
            </c:ext>
          </c:extLst>
        </c:ser>
        <c:dLbls>
          <c:showLegendKey val="0"/>
          <c:showVal val="0"/>
          <c:showCatName val="0"/>
          <c:showSerName val="0"/>
          <c:showPercent val="0"/>
          <c:showBubbleSize val="0"/>
        </c:dLbls>
        <c:gapWidth val="219"/>
        <c:overlap val="-27"/>
        <c:axId val="98439552"/>
        <c:axId val="98441472"/>
      </c:barChart>
      <c:catAx>
        <c:axId val="98439552"/>
        <c:scaling>
          <c:orientation val="minMax"/>
        </c:scaling>
        <c:delete val="0"/>
        <c:axPos val="b"/>
        <c:title>
          <c:tx>
            <c:rich>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US" sz="800" b="1"/>
                  <a:t>TREATMENT</a:t>
                </a:r>
                <a:r>
                  <a:rPr lang="en-US" sz="800" b="1" baseline="0"/>
                  <a:t> GROUPS</a:t>
                </a:r>
                <a:endParaRPr lang="en-US" sz="800" b="1"/>
              </a:p>
            </c:rich>
          </c:tx>
          <c:layout>
            <c:manualLayout>
              <c:xMode val="edge"/>
              <c:yMode val="edge"/>
              <c:x val="0.36906455249795"/>
              <c:y val="0.8740507436570430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800" b="1" i="0" u="none" strike="noStrike" kern="1200" baseline="0">
                <a:solidFill>
                  <a:schemeClr val="tx1">
                    <a:lumMod val="65000"/>
                    <a:lumOff val="35000"/>
                  </a:schemeClr>
                </a:solidFill>
                <a:latin typeface="+mn-lt"/>
                <a:ea typeface="+mn-ea"/>
                <a:cs typeface="+mn-cs"/>
              </a:defRPr>
            </a:pPr>
            <a:endParaRPr lang="en-US"/>
          </a:p>
        </c:txPr>
        <c:crossAx val="98441472"/>
        <c:crosses val="autoZero"/>
        <c:auto val="1"/>
        <c:lblAlgn val="ctr"/>
        <c:lblOffset val="100"/>
        <c:noMultiLvlLbl val="0"/>
      </c:catAx>
      <c:valAx>
        <c:axId val="98441472"/>
        <c:scaling>
          <c:orientation val="minMax"/>
        </c:scaling>
        <c:delete val="0"/>
        <c:axPos val="l"/>
        <c:title>
          <c:tx>
            <c:rich>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US" sz="800" b="1">
                    <a:latin typeface="+mn-lt"/>
                  </a:rPr>
                  <a:t>Conc.</a:t>
                </a:r>
                <a:r>
                  <a:rPr lang="en-US" sz="800" b="1" baseline="0">
                    <a:latin typeface="+mn-lt"/>
                  </a:rPr>
                  <a:t> of MDA (</a:t>
                </a:r>
                <a:r>
                  <a:rPr lang="en-US" sz="800" b="1" baseline="0">
                    <a:latin typeface="+mn-lt"/>
                    <a:cs typeface="Times New Roman" panose="02020603050405020304" charset="0"/>
                  </a:rPr>
                  <a:t>µmol/l)</a:t>
                </a:r>
                <a:endParaRPr lang="en-US" sz="800" b="1">
                  <a:latin typeface="+mn-lt"/>
                </a:endParaRPr>
              </a:p>
            </c:rich>
          </c:tx>
          <c:overlay val="0"/>
          <c:spPr>
            <a:noFill/>
            <a:ln>
              <a:noFill/>
            </a:ln>
            <a:effectLst/>
          </c:spPr>
        </c:title>
        <c:numFmt formatCode="General" sourceLinked="1"/>
        <c:majorTickMark val="out"/>
        <c:minorTickMark val="none"/>
        <c:tickLblPos val="nextTo"/>
        <c:spPr>
          <a:noFill/>
          <a:ln w="9525" cap="flat" cmpd="sng" algn="ctr">
            <a:solidFill>
              <a:schemeClr val="accent1"/>
            </a:solidFill>
            <a:prstDash val="solid"/>
            <a:round/>
          </a:ln>
          <a:effectLst/>
        </c:spPr>
        <c:txPr>
          <a:bodyPr rot="-60000000" spcFirstLastPara="1" vertOverflow="ellipsis" vert="horz" wrap="square" anchor="ctr" anchorCtr="1"/>
          <a:lstStyle/>
          <a:p>
            <a:pPr>
              <a:defRPr lang="en-US" sz="800" b="1" i="0" u="none" strike="noStrike" kern="1200" baseline="0">
                <a:solidFill>
                  <a:schemeClr val="tx1">
                    <a:lumMod val="65000"/>
                    <a:lumOff val="35000"/>
                  </a:schemeClr>
                </a:solidFill>
                <a:latin typeface="+mn-lt"/>
                <a:ea typeface="+mn-ea"/>
                <a:cs typeface="+mn-cs"/>
              </a:defRPr>
            </a:pPr>
            <a:endParaRPr lang="en-US"/>
          </a:p>
        </c:txPr>
        <c:crossAx val="98439552"/>
        <c:crosses val="autoZero"/>
        <c:crossBetween val="between"/>
      </c:valAx>
      <c:spPr>
        <a:noFill/>
        <a:ln>
          <a:noFill/>
        </a:ln>
        <a:effectLst/>
      </c:spPr>
    </c:plotArea>
    <c:plotVisOnly val="1"/>
    <c:dispBlanksAs val="gap"/>
    <c:showDLblsOverMax val="0"/>
    <c:extLst>
      <c:ext uri="{0b15fc19-7d7d-44ad-8c2d-2c3a37ce22c3}">
        <chartProps xmlns="https://web.wps.cn/et/2018/main" chartId="{4b66e6fe-9cc8-484c-ac82-218af33fb613}"/>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sz="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6242535599448801"/>
          <c:y val="6.1090610906109101E-2"/>
          <c:w val="0.788424437299035"/>
          <c:h val="0.71291512915129196"/>
        </c:manualLayout>
      </c:layout>
      <c:barChart>
        <c:barDir val="col"/>
        <c:grouping val="clustered"/>
        <c:varyColors val="0"/>
        <c:ser>
          <c:idx val="0"/>
          <c:order val="0"/>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prstDash val="solid"/>
                <a:round/>
              </a:ln>
              <a:effectLst/>
            </c:spPr>
          </c:errBars>
          <c:cat>
            <c:strRef>
              <c:f>Sheet9!$D$2:$D$6</c:f>
              <c:strCache>
                <c:ptCount val="5"/>
                <c:pt idx="0">
                  <c:v>A</c:v>
                </c:pt>
                <c:pt idx="1">
                  <c:v>B</c:v>
                </c:pt>
                <c:pt idx="2">
                  <c:v>C</c:v>
                </c:pt>
                <c:pt idx="3">
                  <c:v>D</c:v>
                </c:pt>
                <c:pt idx="4">
                  <c:v>E</c:v>
                </c:pt>
              </c:strCache>
            </c:strRef>
          </c:cat>
          <c:val>
            <c:numRef>
              <c:f>Sheet9!$E$2:$E$6</c:f>
              <c:numCache>
                <c:formatCode>General</c:formatCode>
                <c:ptCount val="5"/>
                <c:pt idx="0">
                  <c:v>0.13</c:v>
                </c:pt>
                <c:pt idx="1">
                  <c:v>0.08</c:v>
                </c:pt>
                <c:pt idx="2">
                  <c:v>0.21</c:v>
                </c:pt>
                <c:pt idx="3">
                  <c:v>0.34</c:v>
                </c:pt>
                <c:pt idx="4">
                  <c:v>0.28000000000000003</c:v>
                </c:pt>
              </c:numCache>
            </c:numRef>
          </c:val>
          <c:extLst>
            <c:ext xmlns:c16="http://schemas.microsoft.com/office/drawing/2014/chart" uri="{C3380CC4-5D6E-409C-BE32-E72D297353CC}">
              <c16:uniqueId val="{00000000-BF7F-46EE-A63D-58020B8B336D}"/>
            </c:ext>
          </c:extLst>
        </c:ser>
        <c:dLbls>
          <c:showLegendKey val="0"/>
          <c:showVal val="0"/>
          <c:showCatName val="0"/>
          <c:showSerName val="0"/>
          <c:showPercent val="0"/>
          <c:showBubbleSize val="0"/>
        </c:dLbls>
        <c:gapWidth val="219"/>
        <c:overlap val="-27"/>
        <c:axId val="102737024"/>
        <c:axId val="102738944"/>
      </c:barChart>
      <c:catAx>
        <c:axId val="102737024"/>
        <c:scaling>
          <c:orientation val="minMax"/>
        </c:scaling>
        <c:delete val="0"/>
        <c:axPos val="b"/>
        <c:title>
          <c:tx>
            <c:rich>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US" sz="800" b="1"/>
                  <a:t>TREATMENT</a:t>
                </a:r>
                <a:r>
                  <a:rPr lang="en-US" sz="800" b="1" baseline="0"/>
                  <a:t> GROUPS</a:t>
                </a:r>
                <a:endParaRPr lang="en-US" sz="800"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800" b="1" i="0" u="none" strike="noStrike" kern="1200" baseline="0">
                <a:solidFill>
                  <a:schemeClr val="tx1">
                    <a:lumMod val="65000"/>
                    <a:lumOff val="35000"/>
                  </a:schemeClr>
                </a:solidFill>
                <a:latin typeface="+mn-lt"/>
                <a:ea typeface="+mn-ea"/>
                <a:cs typeface="+mn-cs"/>
              </a:defRPr>
            </a:pPr>
            <a:endParaRPr lang="en-US"/>
          </a:p>
        </c:txPr>
        <c:crossAx val="102738944"/>
        <c:crosses val="autoZero"/>
        <c:auto val="1"/>
        <c:lblAlgn val="ctr"/>
        <c:lblOffset val="100"/>
        <c:noMultiLvlLbl val="0"/>
      </c:catAx>
      <c:valAx>
        <c:axId val="102738944"/>
        <c:scaling>
          <c:orientation val="minMax"/>
        </c:scaling>
        <c:delete val="0"/>
        <c:axPos val="l"/>
        <c:title>
          <c:tx>
            <c:rich>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US" sz="800" b="1"/>
                  <a:t>Conc.</a:t>
                </a:r>
                <a:r>
                  <a:rPr lang="en-US" sz="800" b="1" baseline="0"/>
                  <a:t> of SOD (u/ml)</a:t>
                </a:r>
                <a:endParaRPr lang="en-US" sz="800" b="1"/>
              </a:p>
            </c:rich>
          </c:tx>
          <c:layout>
            <c:manualLayout>
              <c:xMode val="edge"/>
              <c:yMode val="edge"/>
              <c:x val="2.6121902210314799E-2"/>
              <c:y val="0.13944009880609301"/>
            </c:manualLayout>
          </c:layout>
          <c:overlay val="0"/>
          <c:spPr>
            <a:noFill/>
            <a:ln>
              <a:noFill/>
            </a:ln>
            <a:effectLst/>
          </c:spPr>
        </c:title>
        <c:numFmt formatCode="General" sourceLinked="1"/>
        <c:majorTickMark val="out"/>
        <c:minorTickMark val="none"/>
        <c:tickLblPos val="nextTo"/>
        <c:spPr>
          <a:noFill/>
          <a:ln w="9525" cap="flat" cmpd="sng" algn="ctr">
            <a:solidFill>
              <a:schemeClr val="accent1"/>
            </a:solidFill>
            <a:prstDash val="solid"/>
            <a:round/>
          </a:ln>
          <a:effectLst/>
        </c:spPr>
        <c:txPr>
          <a:bodyPr rot="-60000000" spcFirstLastPara="1" vertOverflow="ellipsis" vert="horz" wrap="square" anchor="ctr" anchorCtr="1"/>
          <a:lstStyle/>
          <a:p>
            <a:pPr>
              <a:defRPr lang="en-US" sz="800" b="1" i="0" u="none" strike="noStrike" kern="1200" baseline="0">
                <a:solidFill>
                  <a:schemeClr val="tx1">
                    <a:lumMod val="65000"/>
                    <a:lumOff val="35000"/>
                  </a:schemeClr>
                </a:solidFill>
                <a:latin typeface="+mn-lt"/>
                <a:ea typeface="+mn-ea"/>
                <a:cs typeface="+mn-cs"/>
              </a:defRPr>
            </a:pPr>
            <a:endParaRPr lang="en-US"/>
          </a:p>
        </c:txPr>
        <c:crossAx val="102737024"/>
        <c:crosses val="autoZero"/>
        <c:crossBetween val="between"/>
      </c:valAx>
      <c:spPr>
        <a:noFill/>
        <a:ln>
          <a:noFill/>
        </a:ln>
        <a:effectLst/>
      </c:spPr>
    </c:plotArea>
    <c:plotVisOnly val="1"/>
    <c:dispBlanksAs val="gap"/>
    <c:showDLblsOverMax val="0"/>
    <c:extLst>
      <c:ext uri="{0b15fc19-7d7d-44ad-8c2d-2c3a37ce22c3}">
        <chartProps xmlns="https://web.wps.cn/et/2018/main" chartId="{e5fa9c78-9171-4f77-be68-3d6b5dac40bd}"/>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sz="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5CE1BB-EE70-4129-A229-7118AB7BC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2484</Words>
  <Characters>14159</Characters>
  <Application>Microsoft Office Word</Application>
  <DocSecurity>0</DocSecurity>
  <Lines>117</Lines>
  <Paragraphs>33</Paragraphs>
  <ScaleCrop>false</ScaleCrop>
  <Company/>
  <LinksUpToDate>false</LinksUpToDate>
  <CharactersWithSpaces>16610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BUMI PC</dc:creator>
  <cp:lastModifiedBy>SDI 1084</cp:lastModifiedBy>
  <cp:revision>5</cp:revision>
  <dcterms:created xsi:type="dcterms:W3CDTF">2024-09-14T01:02:00Z</dcterms:created>
  <dcterms:modified xsi:type="dcterms:W3CDTF">2025-01-30T12:47:00Z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D84DAB1FECF24677B808A9B5BFE82DE9_12</vt:lpwstr>
  </property>
</Properties>
</file>