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91279" w14:textId="77777777" w:rsidR="004701E7" w:rsidRDefault="004701E7" w:rsidP="004701E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bookmarkStart w:id="0" w:name="_GoBack"/>
      <w:bookmarkEnd w:id="0"/>
      <w:r w:rsidRPr="004701E7">
        <w:rPr>
          <w:rFonts w:ascii="Times New Roman" w:eastAsia="Times New Roman" w:hAnsi="Times New Roman" w:cs="Times New Roman"/>
          <w:b/>
          <w:bCs/>
          <w:kern w:val="36"/>
          <w:sz w:val="48"/>
          <w:szCs w:val="48"/>
          <w:lang w:eastAsia="en-IN"/>
          <w14:ligatures w14:val="none"/>
        </w:rPr>
        <w:t>Socio-economic Condition of Tiger Widows at Sundarbans, West Bengal: A Review</w:t>
      </w:r>
    </w:p>
    <w:p w14:paraId="0D1237E0" w14:textId="77777777" w:rsidR="009E14FF" w:rsidRDefault="009E14FF" w:rsidP="004701E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p>
    <w:p w14:paraId="659BD9A2" w14:textId="77777777" w:rsidR="009E14FF" w:rsidRPr="009E14FF" w:rsidRDefault="009E14FF" w:rsidP="009E14F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E14FF">
        <w:rPr>
          <w:rFonts w:ascii="Times New Roman" w:eastAsia="Times New Roman" w:hAnsi="Times New Roman" w:cs="Times New Roman"/>
          <w:b/>
          <w:bCs/>
          <w:kern w:val="0"/>
          <w:sz w:val="24"/>
          <w:szCs w:val="24"/>
          <w:lang w:eastAsia="en-IN"/>
          <w14:ligatures w14:val="none"/>
        </w:rPr>
        <w:t>Abstract</w:t>
      </w:r>
    </w:p>
    <w:p w14:paraId="26F90521" w14:textId="77777777" w:rsidR="009E14FF" w:rsidRPr="009E14FF" w:rsidRDefault="009E14FF" w:rsidP="009E14F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E14FF">
        <w:rPr>
          <w:rFonts w:ascii="Times New Roman" w:eastAsia="Times New Roman" w:hAnsi="Times New Roman" w:cs="Times New Roman"/>
          <w:kern w:val="0"/>
          <w:sz w:val="24"/>
          <w:szCs w:val="24"/>
          <w:lang w:eastAsia="en-IN"/>
          <w14:ligatures w14:val="none"/>
        </w:rPr>
        <w:t>The Sundarbans, the world’s largest mangrove forest spanning India and Bangladesh, is not only home to the endangered Royal Bengal Tiger (</w:t>
      </w:r>
      <w:r w:rsidRPr="009E14FF">
        <w:rPr>
          <w:rFonts w:ascii="Times New Roman" w:eastAsia="Times New Roman" w:hAnsi="Times New Roman" w:cs="Times New Roman"/>
          <w:i/>
          <w:iCs/>
          <w:kern w:val="0"/>
          <w:sz w:val="24"/>
          <w:szCs w:val="24"/>
          <w:lang w:eastAsia="en-IN"/>
          <w14:ligatures w14:val="none"/>
        </w:rPr>
        <w:t xml:space="preserve">Panthera </w:t>
      </w:r>
      <w:proofErr w:type="spellStart"/>
      <w:r w:rsidRPr="009E14FF">
        <w:rPr>
          <w:rFonts w:ascii="Times New Roman" w:eastAsia="Times New Roman" w:hAnsi="Times New Roman" w:cs="Times New Roman"/>
          <w:i/>
          <w:iCs/>
          <w:kern w:val="0"/>
          <w:sz w:val="24"/>
          <w:szCs w:val="24"/>
          <w:lang w:eastAsia="en-IN"/>
          <w14:ligatures w14:val="none"/>
        </w:rPr>
        <w:t>tigris</w:t>
      </w:r>
      <w:proofErr w:type="spellEnd"/>
      <w:r w:rsidRPr="009E14FF">
        <w:rPr>
          <w:rFonts w:ascii="Times New Roman" w:eastAsia="Times New Roman" w:hAnsi="Times New Roman" w:cs="Times New Roman"/>
          <w:i/>
          <w:iCs/>
          <w:kern w:val="0"/>
          <w:sz w:val="24"/>
          <w:szCs w:val="24"/>
          <w:lang w:eastAsia="en-IN"/>
          <w14:ligatures w14:val="none"/>
        </w:rPr>
        <w:t xml:space="preserve"> </w:t>
      </w:r>
      <w:proofErr w:type="spellStart"/>
      <w:r w:rsidRPr="009E14FF">
        <w:rPr>
          <w:rFonts w:ascii="Times New Roman" w:eastAsia="Times New Roman" w:hAnsi="Times New Roman" w:cs="Times New Roman"/>
          <w:i/>
          <w:iCs/>
          <w:kern w:val="0"/>
          <w:sz w:val="24"/>
          <w:szCs w:val="24"/>
          <w:lang w:eastAsia="en-IN"/>
          <w14:ligatures w14:val="none"/>
        </w:rPr>
        <w:t>tigris</w:t>
      </w:r>
      <w:proofErr w:type="spellEnd"/>
      <w:r w:rsidRPr="009E14FF">
        <w:rPr>
          <w:rFonts w:ascii="Times New Roman" w:eastAsia="Times New Roman" w:hAnsi="Times New Roman" w:cs="Times New Roman"/>
          <w:kern w:val="0"/>
          <w:sz w:val="24"/>
          <w:szCs w:val="24"/>
          <w:lang w:eastAsia="en-IN"/>
          <w14:ligatures w14:val="none"/>
        </w:rPr>
        <w:t>) but also a socio-economically vulnerable human population. A tragic outcome of this coexistence is the emergence of "tiger widows"—women who have lost their husbands to tiger attacks during forest-dependent livelihood activities such as fishing, crab collection, and honey gathering. This review explores the multi-dimensional socio-economic challenges faced by these women, including poverty, social ostracism, and psychological trauma. Economic hardship remains a predominant issue, compounded by the lack of formal education, limited employment opportunities, and insufficient compensation mechanisms. Furthermore, entrenched cultural stigmas isolate these widows, exacerbating their vulnerability to exploitation. Psychological issues such as depression and post-traumatic stress disorder (PTSD) are widespread but often neglected due to the absence of adequate mental health services.</w:t>
      </w:r>
    </w:p>
    <w:p w14:paraId="3A467E55" w14:textId="77777777" w:rsidR="009E14FF" w:rsidRPr="009E14FF" w:rsidRDefault="009E14FF" w:rsidP="009E14F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E14FF">
        <w:rPr>
          <w:rFonts w:ascii="Times New Roman" w:eastAsia="Times New Roman" w:hAnsi="Times New Roman" w:cs="Times New Roman"/>
          <w:kern w:val="0"/>
          <w:sz w:val="24"/>
          <w:szCs w:val="24"/>
          <w:lang w:eastAsia="en-IN"/>
          <w14:ligatures w14:val="none"/>
        </w:rPr>
        <w:t>To address these challenges, tiger widows have formed self-help groups (SHGs), advocating for collective empowerment through sustainable income-generating activities. Non-governmental organizations (NGOs) have also played a vital role in securing legal compensation and providing mental health interventions. However, the reach of these initiatives remains limited. This review emphasizes the need for comprehensive policy interventions, including streamlined compensation processes, community education to reduce social stigma, mental health support, and sustainable livelihood programs to reduce dependence on forest resources.</w:t>
      </w:r>
    </w:p>
    <w:p w14:paraId="0593530C" w14:textId="784B1A28" w:rsidR="009E14FF" w:rsidRPr="004701E7" w:rsidRDefault="009E14FF" w:rsidP="009E14FF">
      <w:pPr>
        <w:spacing w:before="100" w:beforeAutospacing="1" w:after="100" w:afterAutospacing="1" w:line="240" w:lineRule="auto"/>
        <w:rPr>
          <w:rFonts w:ascii="Times New Roman" w:eastAsia="Times New Roman" w:hAnsi="Times New Roman" w:cs="Times New Roman"/>
          <w:b/>
          <w:bCs/>
          <w:kern w:val="36"/>
          <w:sz w:val="48"/>
          <w:szCs w:val="48"/>
          <w:lang w:eastAsia="en-IN"/>
          <w14:ligatures w14:val="none"/>
        </w:rPr>
      </w:pPr>
      <w:r w:rsidRPr="009E14FF">
        <w:rPr>
          <w:rFonts w:ascii="Times New Roman" w:eastAsia="Times New Roman" w:hAnsi="Times New Roman" w:cs="Times New Roman"/>
          <w:kern w:val="0"/>
          <w:sz w:val="24"/>
          <w:szCs w:val="24"/>
          <w:lang w:eastAsia="en-IN"/>
          <w14:ligatures w14:val="none"/>
        </w:rPr>
        <w:t>By highlighting the interplay between environmental conservation and human welfare, this review aims to contribute to the discourse on inclusive development strategies for the socio-economic upliftment of tiger widows in the Sundarbans.</w:t>
      </w:r>
    </w:p>
    <w:p w14:paraId="198679E3" w14:textId="77777777" w:rsidR="004701E7" w:rsidRDefault="004701E7" w:rsidP="004701E7">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701E7">
        <w:rPr>
          <w:rFonts w:ascii="Times New Roman" w:eastAsia="Times New Roman" w:hAnsi="Times New Roman" w:cs="Times New Roman"/>
          <w:b/>
          <w:bCs/>
          <w:kern w:val="0"/>
          <w:sz w:val="36"/>
          <w:szCs w:val="36"/>
          <w:lang w:eastAsia="en-IN"/>
          <w14:ligatures w14:val="none"/>
        </w:rPr>
        <w:t>1. Introduction</w:t>
      </w:r>
    </w:p>
    <w:p w14:paraId="0D7614B1" w14:textId="6CEC6100" w:rsidR="009E14FF" w:rsidRDefault="009E14FF" w:rsidP="009E14FF">
      <w:pPr>
        <w:pStyle w:val="NormalWeb"/>
      </w:pPr>
      <w:r>
        <w:t xml:space="preserve">The Sundarbans, the world's largest mangrove forest </w:t>
      </w:r>
      <w:r w:rsidRPr="004701E7">
        <w:t>and a UNESCO World Heritage Site</w:t>
      </w:r>
      <w:r>
        <w:t>, spans the deltaic regions of India and Bangladesh and is home to the endangered Royal Bengal Tiger (</w:t>
      </w:r>
      <w:r>
        <w:rPr>
          <w:rStyle w:val="Emphasis"/>
          <w:rFonts w:eastAsiaTheme="majorEastAsia"/>
        </w:rPr>
        <w:t xml:space="preserve">Panthera </w:t>
      </w:r>
      <w:proofErr w:type="spellStart"/>
      <w:r>
        <w:rPr>
          <w:rStyle w:val="Emphasis"/>
          <w:rFonts w:eastAsiaTheme="majorEastAsia"/>
        </w:rPr>
        <w:t>tigris</w:t>
      </w:r>
      <w:proofErr w:type="spellEnd"/>
      <w:r>
        <w:rPr>
          <w:rStyle w:val="Emphasis"/>
          <w:rFonts w:eastAsiaTheme="majorEastAsia"/>
        </w:rPr>
        <w:t xml:space="preserve"> </w:t>
      </w:r>
      <w:proofErr w:type="spellStart"/>
      <w:r>
        <w:rPr>
          <w:rStyle w:val="Emphasis"/>
          <w:rFonts w:eastAsiaTheme="majorEastAsia"/>
        </w:rPr>
        <w:t>tigris</w:t>
      </w:r>
      <w:proofErr w:type="spellEnd"/>
      <w:r>
        <w:t xml:space="preserve">). This unique ecosystem, covering approximately 10,000 square </w:t>
      </w:r>
      <w:proofErr w:type="spellStart"/>
      <w:r>
        <w:t>kilometers</w:t>
      </w:r>
      <w:proofErr w:type="spellEnd"/>
      <w:r>
        <w:t>, supports a dense human population that is heavily dependent on the forest for sustenance (Ghosh et al., 2015). The inhabitants of the Sundarbans engage in fishing, crab collection, and honey gathering, activities that often bring them into conflict with the region’s apex predator—the tiger. One of the tragic social consequences of these encounters is the emergence of "tiger widows," a term used to describe women who have lost their husbands to tiger attacks while they were collecting resources from the forest (Chowdhury et al., 2008).</w:t>
      </w:r>
    </w:p>
    <w:p w14:paraId="06047CF5" w14:textId="3FE6CC4B" w:rsidR="009E14FF" w:rsidRDefault="009E14FF" w:rsidP="009E14FF">
      <w:pPr>
        <w:pStyle w:val="NormalWeb"/>
      </w:pPr>
      <w:r>
        <w:lastRenderedPageBreak/>
        <w:t>Tiger attacks are frequent in the Sundarbans due to the close proximity between human settlements and tiger habitats. According to estimates, dozens of men fall victim to tiger attacks each year while working in the mangrove forests, leaving behind widows who face severe socio-economic hardships</w:t>
      </w:r>
      <w:r w:rsidR="0023295B">
        <w:t xml:space="preserve"> (Jamal et al., 2022)</w:t>
      </w:r>
      <w:r>
        <w:t xml:space="preserve">. These widows are often left with no source of income, experience social ostracization, and suffer from psychological distress. The loss of their husbands not only leads to financial instability but also results in stigmatization within their communities, as they are frequently blamed for bringing misfortune upon their families </w:t>
      </w:r>
      <w:r w:rsidR="0023295B">
        <w:t>(Chowdhury et al., 2008)</w:t>
      </w:r>
      <w:r>
        <w:t>.</w:t>
      </w:r>
    </w:p>
    <w:p w14:paraId="753A6E62" w14:textId="69C6384E" w:rsidR="009E14FF" w:rsidRDefault="009E14FF" w:rsidP="009E14FF">
      <w:pPr>
        <w:pStyle w:val="NormalWeb"/>
      </w:pPr>
      <w:r>
        <w:t>Despite the legal provisions under the Indian Wildlife Protection Act (1972) that provide compensation for wildlife-related fatalities, many tiger widows are denied financial aid due to bureaucratic challenges and the illegal nature of their husbands’ forest entry</w:t>
      </w:r>
      <w:r w:rsidR="0023295B">
        <w:t xml:space="preserve"> (Chowdhury et al., 2008)</w:t>
      </w:r>
      <w:r>
        <w:t>. Furthermore, a lack of alternative employment opportunities forces many widows to risk their own lives by continuing the same forest-dependent activities that led to their husbands' deaths</w:t>
      </w:r>
      <w:r w:rsidR="0023295B">
        <w:t xml:space="preserve"> </w:t>
      </w:r>
      <w:r w:rsidR="0023295B" w:rsidRPr="004701E7">
        <w:t>(</w:t>
      </w:r>
      <w:r w:rsidR="0023295B" w:rsidRPr="0023295B">
        <w:t>Chowdhury</w:t>
      </w:r>
      <w:r w:rsidR="0023295B" w:rsidRPr="004701E7">
        <w:t xml:space="preserve"> et al., 20</w:t>
      </w:r>
      <w:r w:rsidR="0023295B" w:rsidRPr="0023295B">
        <w:t>16</w:t>
      </w:r>
      <w:r w:rsidR="0023295B" w:rsidRPr="004701E7">
        <w:t>)</w:t>
      </w:r>
      <w:r>
        <w:t>.</w:t>
      </w:r>
    </w:p>
    <w:p w14:paraId="5DA9AC52" w14:textId="03CDEFC3" w:rsidR="009E14FF" w:rsidRDefault="009E14FF" w:rsidP="009E14FF">
      <w:pPr>
        <w:pStyle w:val="NormalWeb"/>
      </w:pPr>
      <w:r>
        <w:t xml:space="preserve">The plight of tiger widows remains largely unaddressed in mainstream policy discussions. While some non-governmental organizations (NGOs) and community-based initiatives have attempted to provide support through self-help groups (SHGs) and advocacy for legal compensation, significant gaps remain in addressing their economic vulnerabilities, mental health concerns, and social marginalization </w:t>
      </w:r>
      <w:r w:rsidR="0023295B" w:rsidRPr="00226629">
        <w:t>(Mallick et al., 2021), (Ahsan et al., 2017), (Bera and Maiti, 2022), (Islam et al., 2021)</w:t>
      </w:r>
      <w:r>
        <w:t>. This review aims to examine the socio-economic conditions of tiger widows in the Sundarbans, highlighting the challenges they face and proposing policy recommendations to improve their quality of life.</w:t>
      </w:r>
    </w:p>
    <w:p w14:paraId="02B3716F" w14:textId="77777777" w:rsidR="004701E7" w:rsidRPr="004701E7" w:rsidRDefault="004701E7" w:rsidP="004701E7">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701E7">
        <w:rPr>
          <w:rFonts w:ascii="Times New Roman" w:eastAsia="Times New Roman" w:hAnsi="Times New Roman" w:cs="Times New Roman"/>
          <w:b/>
          <w:bCs/>
          <w:kern w:val="0"/>
          <w:sz w:val="36"/>
          <w:szCs w:val="36"/>
          <w:lang w:eastAsia="en-IN"/>
          <w14:ligatures w14:val="none"/>
        </w:rPr>
        <w:t>2. Socio-Economic Challenges Faced by Tiger Widows</w:t>
      </w:r>
    </w:p>
    <w:p w14:paraId="39136858" w14:textId="77777777" w:rsidR="004701E7" w:rsidRPr="004701E7" w:rsidRDefault="004701E7" w:rsidP="004701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2.1 Economic Hardship</w:t>
      </w:r>
    </w:p>
    <w:p w14:paraId="3896DA94" w14:textId="6415688B" w:rsidR="004701E7" w:rsidRDefault="004701E7" w:rsidP="00226629">
      <w:pPr>
        <w:pStyle w:val="NormalWeb"/>
      </w:pPr>
      <w:r w:rsidRPr="004701E7">
        <w:t>The sudden loss of a family's primary breadwinner thrusts tiger widows into severe financial distress. Many of these women lack formal education and marketable skills, limiting their employment opportunities</w:t>
      </w:r>
      <w:r w:rsidR="00226629">
        <w:t xml:space="preserve"> </w:t>
      </w:r>
      <w:r w:rsidR="00226629" w:rsidRPr="00226629">
        <w:t>(Mallick et al., 2021), (Ahsan et al., 2017), (Bera and Maiti, 2022), (Islam et al., 2021)</w:t>
      </w:r>
      <w:r w:rsidR="00226629">
        <w:t xml:space="preserve">. </w:t>
      </w:r>
      <w:r w:rsidRPr="004701E7">
        <w:t xml:space="preserve">Consequently, they often resort to menial </w:t>
      </w:r>
      <w:proofErr w:type="spellStart"/>
      <w:r w:rsidRPr="004701E7">
        <w:t>labor</w:t>
      </w:r>
      <w:proofErr w:type="spellEnd"/>
      <w:r w:rsidRPr="004701E7">
        <w:t xml:space="preserve"> or continue the perilous practice of venturing into the forest to sustain their families, thereby risking their own lives (</w:t>
      </w:r>
      <w:proofErr w:type="spellStart"/>
      <w:r w:rsidRPr="004701E7">
        <w:t>Jalais</w:t>
      </w:r>
      <w:proofErr w:type="spellEnd"/>
      <w:r w:rsidRPr="004701E7">
        <w:t>, 2010). The absence of adequate compensation exacerbates their economic vulnerability (</w:t>
      </w:r>
      <w:r w:rsidR="000F5B65">
        <w:t>Basu and Mondal, 2023)</w:t>
      </w:r>
      <w:r w:rsidRPr="004701E7">
        <w:t>. Although the Indian Wildlife Protection Act (1972) stipulates compensation for wildlife attack victims, many widows are ineligible due to their husbands' unauthorized entry into restricted forest areas</w:t>
      </w:r>
      <w:r w:rsidR="000F5B65">
        <w:t xml:space="preserve"> (Jamal et al., 2022), (Gulati et al., 2021), (</w:t>
      </w:r>
      <w:proofErr w:type="spellStart"/>
      <w:r w:rsidR="000F5B65">
        <w:t>Manral</w:t>
      </w:r>
      <w:proofErr w:type="spellEnd"/>
      <w:r w:rsidR="000F5B65">
        <w:t xml:space="preserve"> et al., 20216)</w:t>
      </w:r>
      <w:r w:rsidRPr="004701E7">
        <w:t>.</w:t>
      </w:r>
    </w:p>
    <w:p w14:paraId="60396345" w14:textId="77777777" w:rsidR="009F5BD3" w:rsidRDefault="009F5BD3" w:rsidP="009F5BD3">
      <w:pPr>
        <w:pStyle w:val="NormalWeb"/>
      </w:pPr>
      <w:r>
        <w:t>2.1.1 Lack of Alternative Livelihoods</w:t>
      </w:r>
    </w:p>
    <w:p w14:paraId="3C42F637" w14:textId="776F4B1C" w:rsidR="009F5BD3" w:rsidRDefault="009F5BD3" w:rsidP="009F5BD3">
      <w:pPr>
        <w:pStyle w:val="NormalWeb"/>
      </w:pPr>
      <w:r>
        <w:t xml:space="preserve">Most tiger widows lack formal education and vocational training, restricting their employment prospects. As a result, many are forced to continue the hazardous occupation of venturing into the forest to sustain their families, despite the risks of further tiger attacks. Others take up low-paying, physically demanding jobs such as manual </w:t>
      </w:r>
      <w:proofErr w:type="spellStart"/>
      <w:r>
        <w:t>labor</w:t>
      </w:r>
      <w:proofErr w:type="spellEnd"/>
      <w:r>
        <w:t xml:space="preserve">, domestic work, or daily wage farming, which do not provide financial stability </w:t>
      </w:r>
      <w:r w:rsidRPr="00226629">
        <w:t>(Mallick et al., 2021), (Ahsan et al., 2017), (Bera and Maiti, 2022), (Islam et al., 2021)</w:t>
      </w:r>
      <w:r>
        <w:t>.</w:t>
      </w:r>
    </w:p>
    <w:p w14:paraId="13DE1813" w14:textId="77777777" w:rsidR="009F5BD3" w:rsidRDefault="009F5BD3" w:rsidP="009F5BD3">
      <w:pPr>
        <w:pStyle w:val="NormalWeb"/>
      </w:pPr>
      <w:r>
        <w:lastRenderedPageBreak/>
        <w:t>2.1.2 Limited Access to Compensation</w:t>
      </w:r>
    </w:p>
    <w:p w14:paraId="43117C9A" w14:textId="2DD1F964" w:rsidR="009F5BD3" w:rsidRDefault="009F5BD3" w:rsidP="009F5BD3">
      <w:pPr>
        <w:pStyle w:val="NormalWeb"/>
      </w:pPr>
      <w:r>
        <w:t xml:space="preserve">Although the Indian Wildlife Protection Act (1972) provides compensation for wildlife-related fatalities, many tiger widows are denied financial assistance due to bureaucratic hurdles and restrictive policies. Since many men enter the forests without official permits, their deaths are often considered illegal, disqualifying their families from receiving government compensation. Additionally, delays in processing claims and corruption within local administrative systems further hinder their access to financial aid </w:t>
      </w:r>
      <w:r w:rsidR="008C2C24" w:rsidRPr="004701E7">
        <w:t>(</w:t>
      </w:r>
      <w:r w:rsidR="008C2C24">
        <w:t>Basu and Mondal, 2023)</w:t>
      </w:r>
      <w:r>
        <w:t>.</w:t>
      </w:r>
    </w:p>
    <w:p w14:paraId="75A21FE4" w14:textId="77777777" w:rsidR="008C2C24" w:rsidRDefault="008C2C24" w:rsidP="008C2C24">
      <w:pPr>
        <w:pStyle w:val="NormalWeb"/>
      </w:pPr>
      <w:r>
        <w:t>2.1.3 Debt and Economic Exploitation</w:t>
      </w:r>
    </w:p>
    <w:p w14:paraId="19CB4796" w14:textId="7ABF124E" w:rsidR="008C2C24" w:rsidRPr="004701E7" w:rsidRDefault="008C2C24" w:rsidP="008C2C24">
      <w:pPr>
        <w:pStyle w:val="NormalWeb"/>
      </w:pPr>
      <w:r>
        <w:t xml:space="preserve">In the absence of immediate financial support, many widows are forced to take loans at high-interest rates from local moneylenders, trapping them in cycles of debt. Some also become victims of financial exploitation by middlemen who take advantage of their economic desperation by offering unfair wages or manipulating market prices for their </w:t>
      </w:r>
      <w:proofErr w:type="spellStart"/>
      <w:r>
        <w:t>labor</w:t>
      </w:r>
      <w:proofErr w:type="spellEnd"/>
      <w:r>
        <w:t xml:space="preserve"> and goods </w:t>
      </w:r>
      <w:r w:rsidRPr="00226629">
        <w:t>(Ahsan et al., 2017)</w:t>
      </w:r>
      <w:r>
        <w:t>.</w:t>
      </w:r>
    </w:p>
    <w:p w14:paraId="0E4C2BBF" w14:textId="77777777" w:rsidR="004701E7" w:rsidRPr="004701E7" w:rsidRDefault="004701E7" w:rsidP="004701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2.2 Social Ostracism and Stigma</w:t>
      </w:r>
    </w:p>
    <w:p w14:paraId="1B36F8E9" w14:textId="216B7960" w:rsidR="004701E7" w:rsidRDefault="004701E7" w:rsidP="004701E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701E7">
        <w:rPr>
          <w:rFonts w:ascii="Times New Roman" w:eastAsia="Times New Roman" w:hAnsi="Times New Roman" w:cs="Times New Roman"/>
          <w:kern w:val="0"/>
          <w:sz w:val="24"/>
          <w:szCs w:val="24"/>
          <w:lang w:eastAsia="en-IN"/>
          <w14:ligatures w14:val="none"/>
        </w:rPr>
        <w:t>Beyond economic struggles, tiger widows endure significant social stigma. In certain communities, they are deemed harbingers of bad luck and are consequently ostracized (</w:t>
      </w:r>
      <w:r w:rsidR="00514534" w:rsidRPr="008C2C24">
        <w:rPr>
          <w:rFonts w:ascii="Times New Roman" w:eastAsia="Times New Roman" w:hAnsi="Times New Roman" w:cs="Times New Roman"/>
          <w:kern w:val="0"/>
          <w:sz w:val="24"/>
          <w:szCs w:val="24"/>
          <w:lang w:eastAsia="en-IN"/>
          <w14:ligatures w14:val="none"/>
        </w:rPr>
        <w:t>Saha, 2024</w:t>
      </w:r>
      <w:r w:rsidRPr="004701E7">
        <w:rPr>
          <w:rFonts w:ascii="Times New Roman" w:eastAsia="Times New Roman" w:hAnsi="Times New Roman" w:cs="Times New Roman"/>
          <w:kern w:val="0"/>
          <w:sz w:val="24"/>
          <w:szCs w:val="24"/>
          <w:lang w:eastAsia="en-IN"/>
          <w14:ligatures w14:val="none"/>
        </w:rPr>
        <w:t>). This marginalization leads to isolation, diminished social support, and, in some cases, exploitation (</w:t>
      </w:r>
      <w:r w:rsidR="00D32AB5" w:rsidRPr="0023295B">
        <w:t>Chowdhury</w:t>
      </w:r>
      <w:r w:rsidRPr="004701E7">
        <w:rPr>
          <w:rFonts w:ascii="Times New Roman" w:eastAsia="Times New Roman" w:hAnsi="Times New Roman" w:cs="Times New Roman"/>
          <w:kern w:val="0"/>
          <w:sz w:val="24"/>
          <w:szCs w:val="24"/>
          <w:lang w:eastAsia="en-IN"/>
          <w14:ligatures w14:val="none"/>
        </w:rPr>
        <w:t xml:space="preserve"> et al., 20</w:t>
      </w:r>
      <w:r w:rsidR="00D32AB5" w:rsidRPr="0023295B">
        <w:rPr>
          <w:rFonts w:ascii="Times New Roman" w:eastAsia="Times New Roman" w:hAnsi="Times New Roman" w:cs="Times New Roman"/>
          <w:kern w:val="0"/>
          <w:sz w:val="24"/>
          <w:szCs w:val="24"/>
          <w:lang w:eastAsia="en-IN"/>
          <w14:ligatures w14:val="none"/>
        </w:rPr>
        <w:t>16</w:t>
      </w:r>
      <w:r w:rsidRPr="004701E7">
        <w:rPr>
          <w:rFonts w:ascii="Times New Roman" w:eastAsia="Times New Roman" w:hAnsi="Times New Roman" w:cs="Times New Roman"/>
          <w:kern w:val="0"/>
          <w:sz w:val="24"/>
          <w:szCs w:val="24"/>
          <w:lang w:eastAsia="en-IN"/>
          <w14:ligatures w14:val="none"/>
        </w:rPr>
        <w:t>). The stigma is deeply rooted in cultural beliefs and is perpetuated by a lack of awareness and understanding within the community.</w:t>
      </w:r>
    </w:p>
    <w:p w14:paraId="3F8135C8" w14:textId="77777777" w:rsidR="008C2C24" w:rsidRPr="008C2C24" w:rsidRDefault="008C2C24" w:rsidP="008C2C2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C2C24">
        <w:rPr>
          <w:rFonts w:ascii="Times New Roman" w:eastAsia="Times New Roman" w:hAnsi="Times New Roman" w:cs="Times New Roman"/>
          <w:kern w:val="0"/>
          <w:sz w:val="24"/>
          <w:szCs w:val="24"/>
          <w:lang w:eastAsia="en-IN"/>
          <w14:ligatures w14:val="none"/>
        </w:rPr>
        <w:t>2.2.1 Superstitions and Stigmatization</w:t>
      </w:r>
    </w:p>
    <w:p w14:paraId="5AF90A5A" w14:textId="2654C0C2" w:rsidR="008C2C24" w:rsidRPr="008C2C24" w:rsidRDefault="008C2C24" w:rsidP="008C2C2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C2C24">
        <w:rPr>
          <w:rFonts w:ascii="Times New Roman" w:eastAsia="Times New Roman" w:hAnsi="Times New Roman" w:cs="Times New Roman"/>
          <w:kern w:val="0"/>
          <w:sz w:val="24"/>
          <w:szCs w:val="24"/>
          <w:lang w:eastAsia="en-IN"/>
          <w14:ligatures w14:val="none"/>
        </w:rPr>
        <w:t>Many villagers believe that the death of a husband due to a tiger attack is a curse, leading to the widespread social exclusion of the widow. In extreme cases, they are forbidden from attending religious ceremonies, celebrations, or social gatherings, reinforcing their isolation. Such beliefs not only strip them of social support but also diminish their self-worth and confidence</w:t>
      </w:r>
      <w:r>
        <w:rPr>
          <w:rFonts w:ascii="Times New Roman" w:eastAsia="Times New Roman" w:hAnsi="Times New Roman" w:cs="Times New Roman"/>
          <w:kern w:val="0"/>
          <w:sz w:val="24"/>
          <w:szCs w:val="24"/>
          <w:lang w:eastAsia="en-IN"/>
          <w14:ligatures w14:val="none"/>
        </w:rPr>
        <w:t xml:space="preserve"> </w:t>
      </w:r>
      <w:r w:rsidRPr="004701E7">
        <w:rPr>
          <w:rFonts w:ascii="Times New Roman" w:eastAsia="Times New Roman" w:hAnsi="Times New Roman" w:cs="Times New Roman"/>
          <w:kern w:val="0"/>
          <w:sz w:val="24"/>
          <w:szCs w:val="24"/>
          <w:lang w:eastAsia="en-IN"/>
          <w14:ligatures w14:val="none"/>
        </w:rPr>
        <w:t>(</w:t>
      </w:r>
      <w:r w:rsidRPr="008C2C24">
        <w:rPr>
          <w:rFonts w:ascii="Times New Roman" w:eastAsia="Times New Roman" w:hAnsi="Times New Roman" w:cs="Times New Roman"/>
          <w:kern w:val="0"/>
          <w:sz w:val="24"/>
          <w:szCs w:val="24"/>
          <w:lang w:eastAsia="en-IN"/>
          <w14:ligatures w14:val="none"/>
        </w:rPr>
        <w:t>Chowdhury</w:t>
      </w:r>
      <w:r w:rsidRPr="004701E7">
        <w:rPr>
          <w:rFonts w:ascii="Times New Roman" w:eastAsia="Times New Roman" w:hAnsi="Times New Roman" w:cs="Times New Roman"/>
          <w:kern w:val="0"/>
          <w:sz w:val="24"/>
          <w:szCs w:val="24"/>
          <w:lang w:eastAsia="en-IN"/>
          <w14:ligatures w14:val="none"/>
        </w:rPr>
        <w:t xml:space="preserve"> et al., 20</w:t>
      </w:r>
      <w:r w:rsidRPr="0023295B">
        <w:rPr>
          <w:rFonts w:ascii="Times New Roman" w:eastAsia="Times New Roman" w:hAnsi="Times New Roman" w:cs="Times New Roman"/>
          <w:kern w:val="0"/>
          <w:sz w:val="24"/>
          <w:szCs w:val="24"/>
          <w:lang w:eastAsia="en-IN"/>
          <w14:ligatures w14:val="none"/>
        </w:rPr>
        <w:t>16</w:t>
      </w:r>
      <w:r w:rsidRPr="004701E7">
        <w:rPr>
          <w:rFonts w:ascii="Times New Roman" w:eastAsia="Times New Roman" w:hAnsi="Times New Roman" w:cs="Times New Roman"/>
          <w:kern w:val="0"/>
          <w:sz w:val="24"/>
          <w:szCs w:val="24"/>
          <w:lang w:eastAsia="en-IN"/>
          <w14:ligatures w14:val="none"/>
        </w:rPr>
        <w:t>)</w:t>
      </w:r>
      <w:r w:rsidRPr="008C2C24">
        <w:rPr>
          <w:rFonts w:ascii="Times New Roman" w:eastAsia="Times New Roman" w:hAnsi="Times New Roman" w:cs="Times New Roman"/>
          <w:kern w:val="0"/>
          <w:sz w:val="24"/>
          <w:szCs w:val="24"/>
          <w:lang w:eastAsia="en-IN"/>
          <w14:ligatures w14:val="none"/>
        </w:rPr>
        <w:t>.</w:t>
      </w:r>
    </w:p>
    <w:p w14:paraId="1FFC27EE" w14:textId="77777777" w:rsidR="008C2C24" w:rsidRPr="008C2C24" w:rsidRDefault="008C2C24" w:rsidP="008C2C2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C2C24">
        <w:rPr>
          <w:rFonts w:ascii="Times New Roman" w:eastAsia="Times New Roman" w:hAnsi="Times New Roman" w:cs="Times New Roman"/>
          <w:kern w:val="0"/>
          <w:sz w:val="24"/>
          <w:szCs w:val="24"/>
          <w:lang w:eastAsia="en-IN"/>
          <w14:ligatures w14:val="none"/>
        </w:rPr>
        <w:t>2.2.2 Family and Community Exclusion</w:t>
      </w:r>
    </w:p>
    <w:p w14:paraId="27949C58" w14:textId="02685C0B" w:rsidR="008C2C24" w:rsidRPr="008C2C24" w:rsidRDefault="008C2C24" w:rsidP="008C2C2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C2C24">
        <w:rPr>
          <w:rFonts w:ascii="Times New Roman" w:eastAsia="Times New Roman" w:hAnsi="Times New Roman" w:cs="Times New Roman"/>
          <w:kern w:val="0"/>
          <w:sz w:val="24"/>
          <w:szCs w:val="24"/>
          <w:lang w:eastAsia="en-IN"/>
          <w14:ligatures w14:val="none"/>
        </w:rPr>
        <w:t>Widows in the Sundarbans frequently face hostility from their own families and in-laws. Some are forced to leave their matrimonial homes and return to their parental villages, where they are often treated as financial burdens. The lack of inheritance rights or property ownership further exacerbates their economic insecurity</w:t>
      </w:r>
      <w:r>
        <w:rPr>
          <w:rFonts w:ascii="Times New Roman" w:eastAsia="Times New Roman" w:hAnsi="Times New Roman" w:cs="Times New Roman"/>
          <w:kern w:val="0"/>
          <w:sz w:val="24"/>
          <w:szCs w:val="24"/>
          <w:lang w:eastAsia="en-IN"/>
          <w14:ligatures w14:val="none"/>
        </w:rPr>
        <w:t xml:space="preserve"> </w:t>
      </w:r>
      <w:r w:rsidRPr="004701E7">
        <w:rPr>
          <w:rFonts w:ascii="Times New Roman" w:eastAsia="Times New Roman" w:hAnsi="Times New Roman" w:cs="Times New Roman"/>
          <w:kern w:val="0"/>
          <w:sz w:val="24"/>
          <w:szCs w:val="24"/>
          <w:lang w:eastAsia="en-IN"/>
          <w14:ligatures w14:val="none"/>
        </w:rPr>
        <w:t>(</w:t>
      </w:r>
      <w:r w:rsidRPr="008C2C24">
        <w:rPr>
          <w:rFonts w:ascii="Times New Roman" w:eastAsia="Times New Roman" w:hAnsi="Times New Roman" w:cs="Times New Roman"/>
          <w:kern w:val="0"/>
          <w:sz w:val="24"/>
          <w:szCs w:val="24"/>
          <w:lang w:eastAsia="en-IN"/>
          <w14:ligatures w14:val="none"/>
        </w:rPr>
        <w:t>Saha, 2024</w:t>
      </w:r>
      <w:r w:rsidRPr="004701E7">
        <w:rPr>
          <w:rFonts w:ascii="Times New Roman" w:eastAsia="Times New Roman" w:hAnsi="Times New Roman" w:cs="Times New Roman"/>
          <w:kern w:val="0"/>
          <w:sz w:val="24"/>
          <w:szCs w:val="24"/>
          <w:lang w:eastAsia="en-IN"/>
          <w14:ligatures w14:val="none"/>
        </w:rPr>
        <w:t>)</w:t>
      </w:r>
      <w:r w:rsidRPr="008C2C24">
        <w:rPr>
          <w:rFonts w:ascii="Times New Roman" w:eastAsia="Times New Roman" w:hAnsi="Times New Roman" w:cs="Times New Roman"/>
          <w:kern w:val="0"/>
          <w:sz w:val="24"/>
          <w:szCs w:val="24"/>
          <w:lang w:eastAsia="en-IN"/>
          <w14:ligatures w14:val="none"/>
        </w:rPr>
        <w:t>.</w:t>
      </w:r>
    </w:p>
    <w:p w14:paraId="7EDA62FD" w14:textId="77777777" w:rsidR="008C2C24" w:rsidRPr="008C2C24" w:rsidRDefault="008C2C24" w:rsidP="008C2C2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C2C24">
        <w:rPr>
          <w:rFonts w:ascii="Times New Roman" w:eastAsia="Times New Roman" w:hAnsi="Times New Roman" w:cs="Times New Roman"/>
          <w:kern w:val="0"/>
          <w:sz w:val="24"/>
          <w:szCs w:val="24"/>
          <w:lang w:eastAsia="en-IN"/>
          <w14:ligatures w14:val="none"/>
        </w:rPr>
        <w:t>2.2.3 Vulnerability to Exploitation</w:t>
      </w:r>
    </w:p>
    <w:p w14:paraId="72912230" w14:textId="1D82C7F4" w:rsidR="008C2C24" w:rsidRPr="004701E7" w:rsidRDefault="008C2C24" w:rsidP="008C2C2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C2C24">
        <w:rPr>
          <w:rFonts w:ascii="Times New Roman" w:eastAsia="Times New Roman" w:hAnsi="Times New Roman" w:cs="Times New Roman"/>
          <w:kern w:val="0"/>
          <w:sz w:val="24"/>
          <w:szCs w:val="24"/>
          <w:lang w:eastAsia="en-IN"/>
          <w14:ligatures w14:val="none"/>
        </w:rPr>
        <w:t>Due to their marginalized status, many tiger widows become vulnerable to exploitation and abuse. Cases of physical harassment, sexual exploitation,</w:t>
      </w:r>
      <w:r w:rsidR="00F82BCA">
        <w:rPr>
          <w:rFonts w:ascii="Times New Roman" w:eastAsia="Times New Roman" w:hAnsi="Times New Roman" w:cs="Times New Roman"/>
          <w:kern w:val="0"/>
          <w:sz w:val="24"/>
          <w:szCs w:val="24"/>
          <w:lang w:eastAsia="en-IN"/>
          <w14:ligatures w14:val="none"/>
        </w:rPr>
        <w:t xml:space="preserve"> etc have been reported. </w:t>
      </w:r>
      <w:r w:rsidRPr="008C2C24">
        <w:rPr>
          <w:rFonts w:ascii="Times New Roman" w:eastAsia="Times New Roman" w:hAnsi="Times New Roman" w:cs="Times New Roman"/>
          <w:kern w:val="0"/>
          <w:sz w:val="24"/>
          <w:szCs w:val="24"/>
          <w:lang w:eastAsia="en-IN"/>
          <w14:ligatures w14:val="none"/>
        </w:rPr>
        <w:t xml:space="preserve">In some cases, they are pressured into relationships with men who seek to control their limited resources, exacerbating their vulnerability </w:t>
      </w:r>
      <w:r w:rsidR="00F82BCA" w:rsidRPr="004701E7">
        <w:rPr>
          <w:rFonts w:ascii="Times New Roman" w:eastAsia="Times New Roman" w:hAnsi="Times New Roman" w:cs="Times New Roman"/>
          <w:kern w:val="0"/>
          <w:sz w:val="24"/>
          <w:szCs w:val="24"/>
          <w:lang w:eastAsia="en-IN"/>
          <w14:ligatures w14:val="none"/>
        </w:rPr>
        <w:t>(</w:t>
      </w:r>
      <w:r w:rsidR="00F82BCA" w:rsidRPr="008C2C24">
        <w:rPr>
          <w:rFonts w:ascii="Times New Roman" w:eastAsia="Times New Roman" w:hAnsi="Times New Roman" w:cs="Times New Roman"/>
          <w:kern w:val="0"/>
          <w:sz w:val="24"/>
          <w:szCs w:val="24"/>
          <w:lang w:eastAsia="en-IN"/>
          <w14:ligatures w14:val="none"/>
        </w:rPr>
        <w:t>Chowdhury</w:t>
      </w:r>
      <w:r w:rsidR="00F82BCA" w:rsidRPr="004701E7">
        <w:rPr>
          <w:rFonts w:ascii="Times New Roman" w:eastAsia="Times New Roman" w:hAnsi="Times New Roman" w:cs="Times New Roman"/>
          <w:kern w:val="0"/>
          <w:sz w:val="24"/>
          <w:szCs w:val="24"/>
          <w:lang w:eastAsia="en-IN"/>
          <w14:ligatures w14:val="none"/>
        </w:rPr>
        <w:t xml:space="preserve"> et al., 20</w:t>
      </w:r>
      <w:r w:rsidR="00F82BCA" w:rsidRPr="0023295B">
        <w:rPr>
          <w:rFonts w:ascii="Times New Roman" w:eastAsia="Times New Roman" w:hAnsi="Times New Roman" w:cs="Times New Roman"/>
          <w:kern w:val="0"/>
          <w:sz w:val="24"/>
          <w:szCs w:val="24"/>
          <w:lang w:eastAsia="en-IN"/>
          <w14:ligatures w14:val="none"/>
        </w:rPr>
        <w:t>16</w:t>
      </w:r>
      <w:r w:rsidR="00F82BCA" w:rsidRPr="004701E7">
        <w:rPr>
          <w:rFonts w:ascii="Times New Roman" w:eastAsia="Times New Roman" w:hAnsi="Times New Roman" w:cs="Times New Roman"/>
          <w:kern w:val="0"/>
          <w:sz w:val="24"/>
          <w:szCs w:val="24"/>
          <w:lang w:eastAsia="en-IN"/>
          <w14:ligatures w14:val="none"/>
        </w:rPr>
        <w:t>)</w:t>
      </w:r>
      <w:r w:rsidR="00F82BCA">
        <w:rPr>
          <w:rFonts w:ascii="Times New Roman" w:eastAsia="Times New Roman" w:hAnsi="Times New Roman" w:cs="Times New Roman"/>
          <w:kern w:val="0"/>
          <w:sz w:val="24"/>
          <w:szCs w:val="24"/>
          <w:lang w:eastAsia="en-IN"/>
          <w14:ligatures w14:val="none"/>
        </w:rPr>
        <w:t xml:space="preserve"> (Zaman, 2019)</w:t>
      </w:r>
      <w:r w:rsidRPr="008C2C24">
        <w:rPr>
          <w:rFonts w:ascii="Times New Roman" w:eastAsia="Times New Roman" w:hAnsi="Times New Roman" w:cs="Times New Roman"/>
          <w:kern w:val="0"/>
          <w:sz w:val="24"/>
          <w:szCs w:val="24"/>
          <w:lang w:eastAsia="en-IN"/>
          <w14:ligatures w14:val="none"/>
        </w:rPr>
        <w:t>.</w:t>
      </w:r>
    </w:p>
    <w:p w14:paraId="26F7B0CD" w14:textId="77777777" w:rsidR="004701E7" w:rsidRPr="004701E7" w:rsidRDefault="004701E7" w:rsidP="004701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2.3 Psychological Trauma</w:t>
      </w:r>
    </w:p>
    <w:p w14:paraId="07467E1F" w14:textId="5CEFD9E1" w:rsidR="004701E7" w:rsidRDefault="004701E7" w:rsidP="004701E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701E7">
        <w:rPr>
          <w:rFonts w:ascii="Times New Roman" w:eastAsia="Times New Roman" w:hAnsi="Times New Roman" w:cs="Times New Roman"/>
          <w:kern w:val="0"/>
          <w:sz w:val="24"/>
          <w:szCs w:val="24"/>
          <w:lang w:eastAsia="en-IN"/>
          <w14:ligatures w14:val="none"/>
        </w:rPr>
        <w:lastRenderedPageBreak/>
        <w:t>The traumatic experience of losing a spouse to a tiger attack often results in psychological issues such as post-traumatic stress disorder (PTSD), depression, and anxiety among tiger widows (Chowdhury et al., 201</w:t>
      </w:r>
      <w:r w:rsidR="00D52439">
        <w:rPr>
          <w:rFonts w:ascii="Times New Roman" w:eastAsia="Times New Roman" w:hAnsi="Times New Roman" w:cs="Times New Roman"/>
          <w:kern w:val="0"/>
          <w:sz w:val="24"/>
          <w:szCs w:val="24"/>
          <w:lang w:eastAsia="en-IN"/>
          <w14:ligatures w14:val="none"/>
        </w:rPr>
        <w:t>6</w:t>
      </w:r>
      <w:r w:rsidRPr="004701E7">
        <w:rPr>
          <w:rFonts w:ascii="Times New Roman" w:eastAsia="Times New Roman" w:hAnsi="Times New Roman" w:cs="Times New Roman"/>
          <w:kern w:val="0"/>
          <w:sz w:val="24"/>
          <w:szCs w:val="24"/>
          <w:lang w:eastAsia="en-IN"/>
          <w14:ligatures w14:val="none"/>
        </w:rPr>
        <w:t xml:space="preserve">). The combination of grief, economic hardship, and social isolation exacerbates their mental health challenges, which are frequently unaddressed due to limited access to mental health services in the region </w:t>
      </w:r>
      <w:r w:rsidR="00257EE9" w:rsidRPr="004701E7">
        <w:rPr>
          <w:rFonts w:ascii="Times New Roman" w:eastAsia="Times New Roman" w:hAnsi="Times New Roman" w:cs="Times New Roman"/>
          <w:kern w:val="0"/>
          <w:sz w:val="24"/>
          <w:szCs w:val="24"/>
          <w:lang w:eastAsia="en-IN"/>
          <w14:ligatures w14:val="none"/>
        </w:rPr>
        <w:t>(Chowdhury et al., 20</w:t>
      </w:r>
      <w:r w:rsidR="00257EE9">
        <w:rPr>
          <w:rFonts w:ascii="Times New Roman" w:eastAsia="Times New Roman" w:hAnsi="Times New Roman" w:cs="Times New Roman"/>
          <w:kern w:val="0"/>
          <w:sz w:val="24"/>
          <w:szCs w:val="24"/>
          <w:lang w:eastAsia="en-IN"/>
          <w14:ligatures w14:val="none"/>
        </w:rPr>
        <w:t>08</w:t>
      </w:r>
      <w:r w:rsidR="00257EE9" w:rsidRPr="004701E7">
        <w:rPr>
          <w:rFonts w:ascii="Times New Roman" w:eastAsia="Times New Roman" w:hAnsi="Times New Roman" w:cs="Times New Roman"/>
          <w:kern w:val="0"/>
          <w:sz w:val="24"/>
          <w:szCs w:val="24"/>
          <w:lang w:eastAsia="en-IN"/>
          <w14:ligatures w14:val="none"/>
        </w:rPr>
        <w:t>)</w:t>
      </w:r>
      <w:r w:rsidRPr="004701E7">
        <w:rPr>
          <w:rFonts w:ascii="Times New Roman" w:eastAsia="Times New Roman" w:hAnsi="Times New Roman" w:cs="Times New Roman"/>
          <w:kern w:val="0"/>
          <w:sz w:val="24"/>
          <w:szCs w:val="24"/>
          <w:lang w:eastAsia="en-IN"/>
          <w14:ligatures w14:val="none"/>
        </w:rPr>
        <w:t>.</w:t>
      </w:r>
    </w:p>
    <w:p w14:paraId="078007FF" w14:textId="77777777" w:rsidR="00B024FE" w:rsidRPr="00B024FE" w:rsidRDefault="00B024FE" w:rsidP="00B024F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024FE">
        <w:rPr>
          <w:rFonts w:ascii="Times New Roman" w:eastAsia="Times New Roman" w:hAnsi="Times New Roman" w:cs="Times New Roman"/>
          <w:kern w:val="0"/>
          <w:sz w:val="24"/>
          <w:szCs w:val="24"/>
          <w:lang w:eastAsia="en-IN"/>
          <w14:ligatures w14:val="none"/>
        </w:rPr>
        <w:t>2.3.1 Post-Traumatic Stress Disorder (PTSD) and Depression</w:t>
      </w:r>
    </w:p>
    <w:p w14:paraId="55BF7B55" w14:textId="3F8B9339" w:rsidR="00B024FE" w:rsidRPr="00B024FE" w:rsidRDefault="00B024FE" w:rsidP="00B024F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024FE">
        <w:rPr>
          <w:rFonts w:ascii="Times New Roman" w:eastAsia="Times New Roman" w:hAnsi="Times New Roman" w:cs="Times New Roman"/>
          <w:kern w:val="0"/>
          <w:sz w:val="24"/>
          <w:szCs w:val="24"/>
          <w:lang w:eastAsia="en-IN"/>
          <w14:ligatures w14:val="none"/>
        </w:rPr>
        <w:t xml:space="preserve">Many tiger widows suffer from PTSD, experiencing recurring nightmares, flashbacks, and anxiety related to their husbands' deaths </w:t>
      </w:r>
      <w:r>
        <w:rPr>
          <w:rFonts w:ascii="Times New Roman" w:eastAsia="Times New Roman" w:hAnsi="Times New Roman" w:cs="Times New Roman"/>
          <w:kern w:val="0"/>
          <w:sz w:val="24"/>
          <w:szCs w:val="24"/>
          <w:lang w:eastAsia="en-IN"/>
          <w14:ligatures w14:val="none"/>
        </w:rPr>
        <w:t>(Zaman, 2019)</w:t>
      </w:r>
      <w:r w:rsidRPr="00B024FE">
        <w:rPr>
          <w:rFonts w:ascii="Times New Roman" w:eastAsia="Times New Roman" w:hAnsi="Times New Roman" w:cs="Times New Roman"/>
          <w:kern w:val="0"/>
          <w:sz w:val="24"/>
          <w:szCs w:val="24"/>
          <w:lang w:eastAsia="en-IN"/>
          <w14:ligatures w14:val="none"/>
        </w:rPr>
        <w:t>. Additionally, prolonged grief and economic insecurity contribute to high rates of depression, leading to social withdrawal, lack of motivation, and, in severe cases, suicidal tendencies (Chowdhury et al., 2008).</w:t>
      </w:r>
    </w:p>
    <w:p w14:paraId="35153E92" w14:textId="77777777" w:rsidR="00B024FE" w:rsidRPr="00B024FE" w:rsidRDefault="00B024FE" w:rsidP="00B024F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024FE">
        <w:rPr>
          <w:rFonts w:ascii="Times New Roman" w:eastAsia="Times New Roman" w:hAnsi="Times New Roman" w:cs="Times New Roman"/>
          <w:kern w:val="0"/>
          <w:sz w:val="24"/>
          <w:szCs w:val="24"/>
          <w:lang w:eastAsia="en-IN"/>
          <w14:ligatures w14:val="none"/>
        </w:rPr>
        <w:t>2.3.2 Absence of Mental Health Services</w:t>
      </w:r>
    </w:p>
    <w:p w14:paraId="0B0E2E00" w14:textId="2FA5DA02" w:rsidR="00B024FE" w:rsidRPr="00B024FE" w:rsidRDefault="00B024FE" w:rsidP="00B024F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024FE">
        <w:rPr>
          <w:rFonts w:ascii="Times New Roman" w:eastAsia="Times New Roman" w:hAnsi="Times New Roman" w:cs="Times New Roman"/>
          <w:kern w:val="0"/>
          <w:sz w:val="24"/>
          <w:szCs w:val="24"/>
          <w:lang w:eastAsia="en-IN"/>
          <w14:ligatures w14:val="none"/>
        </w:rPr>
        <w:t xml:space="preserve">Despite the critical need for psychological support, mental health services in the Sundarbans remain largely inaccessible </w:t>
      </w:r>
      <w:r>
        <w:rPr>
          <w:rFonts w:ascii="Times New Roman" w:eastAsia="Times New Roman" w:hAnsi="Times New Roman" w:cs="Times New Roman"/>
          <w:kern w:val="0"/>
          <w:sz w:val="24"/>
          <w:szCs w:val="24"/>
          <w:lang w:eastAsia="en-IN"/>
          <w14:ligatures w14:val="none"/>
        </w:rPr>
        <w:t>(Zaman, 2019)</w:t>
      </w:r>
      <w:r w:rsidRPr="00B024FE">
        <w:rPr>
          <w:rFonts w:ascii="Times New Roman" w:eastAsia="Times New Roman" w:hAnsi="Times New Roman" w:cs="Times New Roman"/>
          <w:kern w:val="0"/>
          <w:sz w:val="24"/>
          <w:szCs w:val="24"/>
          <w:lang w:eastAsia="en-IN"/>
          <w14:ligatures w14:val="none"/>
        </w:rPr>
        <w:t xml:space="preserve">. There are very few trained counsellors or mental health professionals available in rural areas, and societal stigma surrounding mental health prevents many widows from seeking help </w:t>
      </w:r>
      <w:r w:rsidRPr="004701E7">
        <w:rPr>
          <w:rFonts w:ascii="Times New Roman" w:eastAsia="Times New Roman" w:hAnsi="Times New Roman" w:cs="Times New Roman"/>
          <w:kern w:val="0"/>
          <w:sz w:val="24"/>
          <w:szCs w:val="24"/>
          <w:lang w:eastAsia="en-IN"/>
          <w14:ligatures w14:val="none"/>
        </w:rPr>
        <w:t>(Chowdhury et al., 201</w:t>
      </w:r>
      <w:r>
        <w:rPr>
          <w:rFonts w:ascii="Times New Roman" w:eastAsia="Times New Roman" w:hAnsi="Times New Roman" w:cs="Times New Roman"/>
          <w:kern w:val="0"/>
          <w:sz w:val="24"/>
          <w:szCs w:val="24"/>
          <w:lang w:eastAsia="en-IN"/>
          <w14:ligatures w14:val="none"/>
        </w:rPr>
        <w:t>6</w:t>
      </w:r>
      <w:r w:rsidRPr="004701E7">
        <w:rPr>
          <w:rFonts w:ascii="Times New Roman" w:eastAsia="Times New Roman" w:hAnsi="Times New Roman" w:cs="Times New Roman"/>
          <w:kern w:val="0"/>
          <w:sz w:val="24"/>
          <w:szCs w:val="24"/>
          <w:lang w:eastAsia="en-IN"/>
          <w14:ligatures w14:val="none"/>
        </w:rPr>
        <w:t>)</w:t>
      </w:r>
      <w:r w:rsidRPr="00B024FE">
        <w:rPr>
          <w:rFonts w:ascii="Times New Roman" w:eastAsia="Times New Roman" w:hAnsi="Times New Roman" w:cs="Times New Roman"/>
          <w:kern w:val="0"/>
          <w:sz w:val="24"/>
          <w:szCs w:val="24"/>
          <w:lang w:eastAsia="en-IN"/>
          <w14:ligatures w14:val="none"/>
        </w:rPr>
        <w:t>. As a result, psychological distress remains unaddressed, affecting both their personal well-being and their ability to care for their children.</w:t>
      </w:r>
    </w:p>
    <w:p w14:paraId="497A5E16" w14:textId="77777777" w:rsidR="00B024FE" w:rsidRPr="00B024FE" w:rsidRDefault="00B024FE" w:rsidP="00B024F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024FE">
        <w:rPr>
          <w:rFonts w:ascii="Times New Roman" w:eastAsia="Times New Roman" w:hAnsi="Times New Roman" w:cs="Times New Roman"/>
          <w:kern w:val="0"/>
          <w:sz w:val="24"/>
          <w:szCs w:val="24"/>
          <w:lang w:eastAsia="en-IN"/>
          <w14:ligatures w14:val="none"/>
        </w:rPr>
        <w:t>2.3.3 Emotional Burden and Social Isolation</w:t>
      </w:r>
    </w:p>
    <w:p w14:paraId="389F9265" w14:textId="4DF940E2" w:rsidR="00B024FE" w:rsidRDefault="00B024FE" w:rsidP="00B024F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024FE">
        <w:rPr>
          <w:rFonts w:ascii="Times New Roman" w:eastAsia="Times New Roman" w:hAnsi="Times New Roman" w:cs="Times New Roman"/>
          <w:kern w:val="0"/>
          <w:sz w:val="24"/>
          <w:szCs w:val="24"/>
          <w:lang w:eastAsia="en-IN"/>
          <w14:ligatures w14:val="none"/>
        </w:rPr>
        <w:t xml:space="preserve">Beyond financial and mental health struggles, tiger widows bear the emotional burden of raising children alone, often under extreme hardship </w:t>
      </w:r>
      <w:r>
        <w:rPr>
          <w:rFonts w:ascii="Times New Roman" w:eastAsia="Times New Roman" w:hAnsi="Times New Roman" w:cs="Times New Roman"/>
          <w:kern w:val="0"/>
          <w:sz w:val="24"/>
          <w:szCs w:val="24"/>
          <w:lang w:eastAsia="en-IN"/>
          <w14:ligatures w14:val="none"/>
        </w:rPr>
        <w:t xml:space="preserve">(Zaman, 2019), </w:t>
      </w:r>
      <w:r w:rsidRPr="004701E7">
        <w:rPr>
          <w:rFonts w:ascii="Times New Roman" w:eastAsia="Times New Roman" w:hAnsi="Times New Roman" w:cs="Times New Roman"/>
          <w:kern w:val="0"/>
          <w:sz w:val="24"/>
          <w:szCs w:val="24"/>
          <w:lang w:eastAsia="en-IN"/>
          <w14:ligatures w14:val="none"/>
        </w:rPr>
        <w:t>(Chowdhury et al., 201</w:t>
      </w:r>
      <w:r>
        <w:rPr>
          <w:rFonts w:ascii="Times New Roman" w:eastAsia="Times New Roman" w:hAnsi="Times New Roman" w:cs="Times New Roman"/>
          <w:kern w:val="0"/>
          <w:sz w:val="24"/>
          <w:szCs w:val="24"/>
          <w:lang w:eastAsia="en-IN"/>
          <w14:ligatures w14:val="none"/>
        </w:rPr>
        <w:t>6</w:t>
      </w:r>
      <w:r w:rsidRPr="004701E7">
        <w:rPr>
          <w:rFonts w:ascii="Times New Roman" w:eastAsia="Times New Roman" w:hAnsi="Times New Roman" w:cs="Times New Roman"/>
          <w:kern w:val="0"/>
          <w:sz w:val="24"/>
          <w:szCs w:val="24"/>
          <w:lang w:eastAsia="en-IN"/>
          <w14:ligatures w14:val="none"/>
        </w:rPr>
        <w:t>)</w:t>
      </w:r>
      <w:r w:rsidRPr="00B024FE">
        <w:rPr>
          <w:rFonts w:ascii="Times New Roman" w:eastAsia="Times New Roman" w:hAnsi="Times New Roman" w:cs="Times New Roman"/>
          <w:kern w:val="0"/>
          <w:sz w:val="24"/>
          <w:szCs w:val="24"/>
          <w:lang w:eastAsia="en-IN"/>
          <w14:ligatures w14:val="none"/>
        </w:rPr>
        <w:t xml:space="preserve">. The societal rejection they experience further deepens their sense of loneliness and helplessness. Without proper emotional support networks, many suffer in silence, lacking platforms to share their grief and struggles </w:t>
      </w:r>
      <w:r w:rsidRPr="004701E7">
        <w:rPr>
          <w:rFonts w:ascii="Times New Roman" w:eastAsia="Times New Roman" w:hAnsi="Times New Roman" w:cs="Times New Roman"/>
          <w:kern w:val="0"/>
          <w:sz w:val="24"/>
          <w:szCs w:val="24"/>
          <w:lang w:eastAsia="en-IN"/>
          <w14:ligatures w14:val="none"/>
        </w:rPr>
        <w:t>ostracized (</w:t>
      </w:r>
      <w:r w:rsidRPr="008C2C24">
        <w:rPr>
          <w:rFonts w:ascii="Times New Roman" w:eastAsia="Times New Roman" w:hAnsi="Times New Roman" w:cs="Times New Roman"/>
          <w:kern w:val="0"/>
          <w:sz w:val="24"/>
          <w:szCs w:val="24"/>
          <w:lang w:eastAsia="en-IN"/>
          <w14:ligatures w14:val="none"/>
        </w:rPr>
        <w:t>Saha, 2024</w:t>
      </w:r>
      <w:r w:rsidRPr="004701E7">
        <w:rPr>
          <w:rFonts w:ascii="Times New Roman" w:eastAsia="Times New Roman" w:hAnsi="Times New Roman" w:cs="Times New Roman"/>
          <w:kern w:val="0"/>
          <w:sz w:val="24"/>
          <w:szCs w:val="24"/>
          <w:lang w:eastAsia="en-IN"/>
          <w14:ligatures w14:val="none"/>
        </w:rPr>
        <w:t>)</w:t>
      </w:r>
      <w:r w:rsidRPr="00B024FE">
        <w:rPr>
          <w:rFonts w:ascii="Times New Roman" w:eastAsia="Times New Roman" w:hAnsi="Times New Roman" w:cs="Times New Roman"/>
          <w:kern w:val="0"/>
          <w:sz w:val="24"/>
          <w:szCs w:val="24"/>
          <w:lang w:eastAsia="en-IN"/>
          <w14:ligatures w14:val="none"/>
        </w:rPr>
        <w:t>.</w:t>
      </w:r>
    </w:p>
    <w:p w14:paraId="057EC208" w14:textId="77777777" w:rsidR="00ED77FE" w:rsidRPr="00ED77FE" w:rsidRDefault="00ED77FE" w:rsidP="00ED77F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ED77FE">
        <w:rPr>
          <w:rFonts w:ascii="Times New Roman" w:eastAsia="Times New Roman" w:hAnsi="Times New Roman" w:cs="Times New Roman"/>
          <w:b/>
          <w:bCs/>
          <w:kern w:val="0"/>
          <w:sz w:val="27"/>
          <w:szCs w:val="27"/>
          <w:lang w:eastAsia="en-IN"/>
          <w14:ligatures w14:val="none"/>
        </w:rPr>
        <w:t>2.4 Environmental Challenges and Climate Vulnerability</w:t>
      </w:r>
    </w:p>
    <w:p w14:paraId="6AE672D0" w14:textId="22CE359E" w:rsidR="00ED77FE" w:rsidRPr="00ED77FE" w:rsidRDefault="00ED77FE" w:rsidP="00ED77F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77FE">
        <w:rPr>
          <w:rFonts w:ascii="Times New Roman" w:eastAsia="Times New Roman" w:hAnsi="Times New Roman" w:cs="Times New Roman"/>
          <w:kern w:val="0"/>
          <w:sz w:val="24"/>
          <w:szCs w:val="24"/>
          <w:lang w:eastAsia="en-IN"/>
          <w14:ligatures w14:val="none"/>
        </w:rPr>
        <w:t>In addition to social and economic challenges, tiger widows in the Sundarbans face environmental threats that exacerbate their hardships. The region is prone to frequent cyclones, tidal surges, and rising sea levels due to climate change, which further destabilize their livelihoods</w:t>
      </w:r>
      <w:r>
        <w:rPr>
          <w:rFonts w:ascii="Times New Roman" w:eastAsia="Times New Roman" w:hAnsi="Times New Roman" w:cs="Times New Roman"/>
          <w:kern w:val="0"/>
          <w:sz w:val="24"/>
          <w:szCs w:val="24"/>
          <w:lang w:eastAsia="en-IN"/>
          <w14:ligatures w14:val="none"/>
        </w:rPr>
        <w:t xml:space="preserve"> (Mondal et al., 2022)</w:t>
      </w:r>
      <w:r w:rsidRPr="00ED77FE">
        <w:rPr>
          <w:rFonts w:ascii="Times New Roman" w:eastAsia="Times New Roman" w:hAnsi="Times New Roman" w:cs="Times New Roman"/>
          <w:kern w:val="0"/>
          <w:sz w:val="24"/>
          <w:szCs w:val="24"/>
          <w:lang w:eastAsia="en-IN"/>
          <w14:ligatures w14:val="none"/>
        </w:rPr>
        <w:t>.</w:t>
      </w:r>
    </w:p>
    <w:p w14:paraId="24A654ED" w14:textId="77777777" w:rsidR="00ED77FE" w:rsidRPr="00ED77FE" w:rsidRDefault="00ED77FE" w:rsidP="00ED77FE">
      <w:pPr>
        <w:spacing w:before="100" w:beforeAutospacing="1" w:after="100" w:afterAutospacing="1" w:line="240" w:lineRule="auto"/>
        <w:outlineLvl w:val="2"/>
        <w:rPr>
          <w:rFonts w:ascii="Times New Roman" w:eastAsia="Times New Roman" w:hAnsi="Times New Roman" w:cs="Times New Roman"/>
          <w:kern w:val="0"/>
          <w:sz w:val="24"/>
          <w:szCs w:val="24"/>
          <w:lang w:eastAsia="en-IN"/>
          <w14:ligatures w14:val="none"/>
        </w:rPr>
      </w:pPr>
      <w:r w:rsidRPr="00ED77FE">
        <w:rPr>
          <w:rFonts w:ascii="Times New Roman" w:eastAsia="Times New Roman" w:hAnsi="Times New Roman" w:cs="Times New Roman"/>
          <w:kern w:val="0"/>
          <w:sz w:val="24"/>
          <w:szCs w:val="24"/>
          <w:lang w:eastAsia="en-IN"/>
          <w14:ligatures w14:val="none"/>
        </w:rPr>
        <w:t>2.4.1 Climate Change and Loss of Livelihoods</w:t>
      </w:r>
    </w:p>
    <w:p w14:paraId="1C14BF66" w14:textId="61194A5F" w:rsidR="00ED77FE" w:rsidRPr="00ED77FE" w:rsidRDefault="00ED77FE" w:rsidP="00ED77F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77FE">
        <w:rPr>
          <w:rFonts w:ascii="Times New Roman" w:eastAsia="Times New Roman" w:hAnsi="Times New Roman" w:cs="Times New Roman"/>
          <w:kern w:val="0"/>
          <w:sz w:val="24"/>
          <w:szCs w:val="24"/>
          <w:lang w:eastAsia="en-IN"/>
          <w14:ligatures w14:val="none"/>
        </w:rPr>
        <w:t xml:space="preserve">Extreme weather events such as Cyclone Aila (2009) and Cyclone </w:t>
      </w:r>
      <w:proofErr w:type="spellStart"/>
      <w:r w:rsidRPr="00ED77FE">
        <w:rPr>
          <w:rFonts w:ascii="Times New Roman" w:eastAsia="Times New Roman" w:hAnsi="Times New Roman" w:cs="Times New Roman"/>
          <w:kern w:val="0"/>
          <w:sz w:val="24"/>
          <w:szCs w:val="24"/>
          <w:lang w:eastAsia="en-IN"/>
          <w14:ligatures w14:val="none"/>
        </w:rPr>
        <w:t>Amphan</w:t>
      </w:r>
      <w:proofErr w:type="spellEnd"/>
      <w:r w:rsidRPr="00ED77FE">
        <w:rPr>
          <w:rFonts w:ascii="Times New Roman" w:eastAsia="Times New Roman" w:hAnsi="Times New Roman" w:cs="Times New Roman"/>
          <w:kern w:val="0"/>
          <w:sz w:val="24"/>
          <w:szCs w:val="24"/>
          <w:lang w:eastAsia="en-IN"/>
          <w14:ligatures w14:val="none"/>
        </w:rPr>
        <w:t xml:space="preserve"> (2020) have destroyed homes, farmland, and fisheries, leaving many tiger widows with even fewer resources for survival. As agricultural productivity declines, women who depend on farming face increased hardship, forcing them to migrate or resort to exploitative </w:t>
      </w:r>
      <w:proofErr w:type="spellStart"/>
      <w:r w:rsidRPr="00ED77FE">
        <w:rPr>
          <w:rFonts w:ascii="Times New Roman" w:eastAsia="Times New Roman" w:hAnsi="Times New Roman" w:cs="Times New Roman"/>
          <w:kern w:val="0"/>
          <w:sz w:val="24"/>
          <w:szCs w:val="24"/>
          <w:lang w:eastAsia="en-IN"/>
          <w14:ligatures w14:val="none"/>
        </w:rPr>
        <w:t>labor</w:t>
      </w:r>
      <w:proofErr w:type="spellEnd"/>
      <w:r w:rsidRPr="00ED77FE">
        <w:rPr>
          <w:rFonts w:ascii="Times New Roman" w:eastAsia="Times New Roman" w:hAnsi="Times New Roman" w:cs="Times New Roman"/>
          <w:kern w:val="0"/>
          <w:sz w:val="24"/>
          <w:szCs w:val="24"/>
          <w:lang w:eastAsia="en-IN"/>
          <w14:ligatures w14:val="none"/>
        </w:rPr>
        <w:t xml:space="preserve"> markets (Chowdhury et al., 201</w:t>
      </w:r>
      <w:r>
        <w:rPr>
          <w:rFonts w:ascii="Times New Roman" w:eastAsia="Times New Roman" w:hAnsi="Times New Roman" w:cs="Times New Roman"/>
          <w:kern w:val="0"/>
          <w:sz w:val="24"/>
          <w:szCs w:val="24"/>
          <w:lang w:eastAsia="en-IN"/>
          <w14:ligatures w14:val="none"/>
        </w:rPr>
        <w:t>4</w:t>
      </w:r>
      <w:r w:rsidRPr="00ED77FE">
        <w:rPr>
          <w:rFonts w:ascii="Times New Roman" w:eastAsia="Times New Roman" w:hAnsi="Times New Roman" w:cs="Times New Roman"/>
          <w:kern w:val="0"/>
          <w:sz w:val="24"/>
          <w:szCs w:val="24"/>
          <w:lang w:eastAsia="en-IN"/>
          <w14:ligatures w14:val="none"/>
        </w:rPr>
        <w:t>).</w:t>
      </w:r>
    </w:p>
    <w:p w14:paraId="7A4B72B6" w14:textId="77777777" w:rsidR="00ED77FE" w:rsidRPr="00ED77FE" w:rsidRDefault="00ED77FE" w:rsidP="00ED77F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77FE">
        <w:rPr>
          <w:rFonts w:ascii="Times New Roman" w:eastAsia="Times New Roman" w:hAnsi="Times New Roman" w:cs="Times New Roman"/>
          <w:kern w:val="0"/>
          <w:sz w:val="24"/>
          <w:szCs w:val="24"/>
          <w:lang w:eastAsia="en-IN"/>
          <w14:ligatures w14:val="none"/>
        </w:rPr>
        <w:t>2.4.2 Migration and Displacement</w:t>
      </w:r>
    </w:p>
    <w:p w14:paraId="02DCCD12" w14:textId="74C62643" w:rsidR="00ED77FE" w:rsidRPr="004701E7" w:rsidRDefault="00ED77FE" w:rsidP="00ED77F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D77FE">
        <w:rPr>
          <w:rFonts w:ascii="Times New Roman" w:eastAsia="Times New Roman" w:hAnsi="Times New Roman" w:cs="Times New Roman"/>
          <w:kern w:val="0"/>
          <w:sz w:val="24"/>
          <w:szCs w:val="24"/>
          <w:lang w:eastAsia="en-IN"/>
          <w14:ligatures w14:val="none"/>
        </w:rPr>
        <w:t xml:space="preserve">Some tiger widows, unable to sustain themselves in the Sundarbans, are forced to migrate to nearby urban areas such as Kolkata or Dhaka in search of work. However, they often end up </w:t>
      </w:r>
      <w:r w:rsidRPr="00ED77FE">
        <w:rPr>
          <w:rFonts w:ascii="Times New Roman" w:eastAsia="Times New Roman" w:hAnsi="Times New Roman" w:cs="Times New Roman"/>
          <w:kern w:val="0"/>
          <w:sz w:val="24"/>
          <w:szCs w:val="24"/>
          <w:lang w:eastAsia="en-IN"/>
          <w14:ligatures w14:val="none"/>
        </w:rPr>
        <w:lastRenderedPageBreak/>
        <w:t>in informal settlements with poor living conditions, lacking social protection or access to essential services</w:t>
      </w:r>
      <w:r>
        <w:rPr>
          <w:rFonts w:ascii="Times New Roman" w:eastAsia="Times New Roman" w:hAnsi="Times New Roman" w:cs="Times New Roman"/>
          <w:kern w:val="0"/>
          <w:sz w:val="24"/>
          <w:szCs w:val="24"/>
          <w:lang w:eastAsia="en-IN"/>
          <w14:ligatures w14:val="none"/>
        </w:rPr>
        <w:t xml:space="preserve"> (Sahana et al., 2021)</w:t>
      </w:r>
      <w:r w:rsidRPr="00ED77FE">
        <w:rPr>
          <w:rFonts w:ascii="Times New Roman" w:eastAsia="Times New Roman" w:hAnsi="Times New Roman" w:cs="Times New Roman"/>
          <w:kern w:val="0"/>
          <w:sz w:val="24"/>
          <w:szCs w:val="24"/>
          <w:lang w:eastAsia="en-IN"/>
          <w14:ligatures w14:val="none"/>
        </w:rPr>
        <w:t>.</w:t>
      </w:r>
    </w:p>
    <w:p w14:paraId="36610FFA" w14:textId="77777777" w:rsidR="004701E7" w:rsidRPr="004701E7" w:rsidRDefault="004701E7" w:rsidP="004701E7">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701E7">
        <w:rPr>
          <w:rFonts w:ascii="Times New Roman" w:eastAsia="Times New Roman" w:hAnsi="Times New Roman" w:cs="Times New Roman"/>
          <w:b/>
          <w:bCs/>
          <w:kern w:val="0"/>
          <w:sz w:val="36"/>
          <w:szCs w:val="36"/>
          <w:lang w:eastAsia="en-IN"/>
          <w14:ligatures w14:val="none"/>
        </w:rPr>
        <w:t>3. Coping Mechanisms and Support Structures</w:t>
      </w:r>
    </w:p>
    <w:p w14:paraId="44AEC3CF" w14:textId="77777777" w:rsidR="004701E7" w:rsidRPr="004701E7" w:rsidRDefault="004701E7" w:rsidP="004701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3.1 Formation of Self-Help Groups</w:t>
      </w:r>
    </w:p>
    <w:p w14:paraId="7F9ABBCE" w14:textId="5A7FABBA" w:rsidR="004701E7" w:rsidRPr="004701E7" w:rsidRDefault="004701E7" w:rsidP="004701E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701E7">
        <w:rPr>
          <w:rFonts w:ascii="Times New Roman" w:eastAsia="Times New Roman" w:hAnsi="Times New Roman" w:cs="Times New Roman"/>
          <w:kern w:val="0"/>
          <w:sz w:val="24"/>
          <w:szCs w:val="24"/>
          <w:lang w:eastAsia="en-IN"/>
          <w14:ligatures w14:val="none"/>
        </w:rPr>
        <w:t>In response to their shared adversities, tiger widows have formed self-help groups (SHGs) to collectively address economic and social challenges. These groups engage in activities such as handicraft production, beekeeping, and aquaculture, providing members with alternative income sources and fostering a sense of community and mutual support (</w:t>
      </w:r>
      <w:r w:rsidR="00514534" w:rsidRPr="00B024FE">
        <w:rPr>
          <w:rFonts w:ascii="Times New Roman" w:eastAsia="Times New Roman" w:hAnsi="Times New Roman" w:cs="Times New Roman"/>
          <w:kern w:val="0"/>
          <w:sz w:val="24"/>
          <w:szCs w:val="24"/>
          <w:lang w:eastAsia="en-IN"/>
          <w14:ligatures w14:val="none"/>
        </w:rPr>
        <w:t xml:space="preserve">Sultana and Dey, </w:t>
      </w:r>
      <w:r w:rsidR="00514534">
        <w:rPr>
          <w:rFonts w:ascii="Times New Roman" w:eastAsia="Times New Roman" w:hAnsi="Times New Roman" w:cs="Times New Roman"/>
          <w:kern w:val="0"/>
          <w:sz w:val="24"/>
          <w:szCs w:val="24"/>
          <w:lang w:eastAsia="en-IN"/>
          <w14:ligatures w14:val="none"/>
        </w:rPr>
        <w:t>2021</w:t>
      </w:r>
      <w:r w:rsidRPr="004701E7">
        <w:rPr>
          <w:rFonts w:ascii="Times New Roman" w:eastAsia="Times New Roman" w:hAnsi="Times New Roman" w:cs="Times New Roman"/>
          <w:kern w:val="0"/>
          <w:sz w:val="24"/>
          <w:szCs w:val="24"/>
          <w:lang w:eastAsia="en-IN"/>
          <w14:ligatures w14:val="none"/>
        </w:rPr>
        <w:t>).</w:t>
      </w:r>
    </w:p>
    <w:p w14:paraId="6E23C558" w14:textId="77777777" w:rsidR="004701E7" w:rsidRPr="004701E7" w:rsidRDefault="004701E7" w:rsidP="004701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3.2 Legal Advocacy and Compensation</w:t>
      </w:r>
    </w:p>
    <w:p w14:paraId="6D56B661" w14:textId="38CAB738" w:rsidR="004701E7" w:rsidRPr="004701E7" w:rsidRDefault="004701E7" w:rsidP="000F5B65">
      <w:pPr>
        <w:pStyle w:val="NormalWeb"/>
      </w:pPr>
      <w:r w:rsidRPr="004701E7">
        <w:t>Advocacy efforts by non-governmental organizations (NGOs) have been instrumental in securing compensation for tiger widows</w:t>
      </w:r>
      <w:r w:rsidR="00E00239">
        <w:t xml:space="preserve"> (</w:t>
      </w:r>
      <w:proofErr w:type="spellStart"/>
      <w:r w:rsidR="00E00239" w:rsidRPr="00E00239">
        <w:t>Rajoana</w:t>
      </w:r>
      <w:proofErr w:type="spellEnd"/>
      <w:r w:rsidR="00E00239">
        <w:t xml:space="preserve"> and </w:t>
      </w:r>
      <w:r w:rsidR="00E00239" w:rsidRPr="00E00239">
        <w:t>Saxena</w:t>
      </w:r>
      <w:r w:rsidR="00E00239">
        <w:t>, 2022)</w:t>
      </w:r>
      <w:r w:rsidRPr="004701E7">
        <w:t>. Through legal interventions, some widows have received compensation as mandated by the Indian Wildlife Protection Act. However, the process is often protracted, and many widows remain uncompensated due to bureaucratic hurdles and stringent eligibility criteria</w:t>
      </w:r>
      <w:r w:rsidR="000F5B65">
        <w:t xml:space="preserve"> (Jamal et al., 2022), (Gulati et al., 2021), (</w:t>
      </w:r>
      <w:proofErr w:type="spellStart"/>
      <w:r w:rsidR="000F5B65">
        <w:t>Manral</w:t>
      </w:r>
      <w:proofErr w:type="spellEnd"/>
      <w:r w:rsidR="000F5B65">
        <w:t xml:space="preserve"> et al., 20216)</w:t>
      </w:r>
      <w:r w:rsidRPr="004701E7">
        <w:t>.</w:t>
      </w:r>
    </w:p>
    <w:p w14:paraId="329F995B" w14:textId="77777777" w:rsidR="004701E7" w:rsidRPr="004701E7" w:rsidRDefault="004701E7" w:rsidP="004701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3.3 Mental Health Interventions</w:t>
      </w:r>
    </w:p>
    <w:p w14:paraId="2FCB041D" w14:textId="3593B248" w:rsidR="004701E7" w:rsidRPr="004701E7" w:rsidRDefault="004701E7" w:rsidP="004701E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701E7">
        <w:rPr>
          <w:rFonts w:ascii="Times New Roman" w:eastAsia="Times New Roman" w:hAnsi="Times New Roman" w:cs="Times New Roman"/>
          <w:kern w:val="0"/>
          <w:sz w:val="24"/>
          <w:szCs w:val="24"/>
          <w:lang w:eastAsia="en-IN"/>
          <w14:ligatures w14:val="none"/>
        </w:rPr>
        <w:t xml:space="preserve">Recognizing the psychological toll on tiger widows, certain NGOs have initiated mental health support programs. These interventions include </w:t>
      </w:r>
      <w:proofErr w:type="spellStart"/>
      <w:r w:rsidRPr="004701E7">
        <w:rPr>
          <w:rFonts w:ascii="Times New Roman" w:eastAsia="Times New Roman" w:hAnsi="Times New Roman" w:cs="Times New Roman"/>
          <w:kern w:val="0"/>
          <w:sz w:val="24"/>
          <w:szCs w:val="24"/>
          <w:lang w:eastAsia="en-IN"/>
          <w14:ligatures w14:val="none"/>
        </w:rPr>
        <w:t>counseling</w:t>
      </w:r>
      <w:proofErr w:type="spellEnd"/>
      <w:r w:rsidRPr="004701E7">
        <w:rPr>
          <w:rFonts w:ascii="Times New Roman" w:eastAsia="Times New Roman" w:hAnsi="Times New Roman" w:cs="Times New Roman"/>
          <w:kern w:val="0"/>
          <w:sz w:val="24"/>
          <w:szCs w:val="24"/>
          <w:lang w:eastAsia="en-IN"/>
          <w14:ligatures w14:val="none"/>
        </w:rPr>
        <w:t xml:space="preserve"> services, support groups, and community-based activities aimed at alleviating trauma and promoting mental well-being </w:t>
      </w:r>
      <w:r w:rsidR="00E00239" w:rsidRPr="004701E7">
        <w:rPr>
          <w:rFonts w:ascii="Times New Roman" w:eastAsia="Times New Roman" w:hAnsi="Times New Roman" w:cs="Times New Roman"/>
          <w:kern w:val="0"/>
          <w:sz w:val="24"/>
          <w:szCs w:val="24"/>
          <w:lang w:eastAsia="en-IN"/>
          <w14:ligatures w14:val="none"/>
        </w:rPr>
        <w:t>(Chowdhury et al., 201</w:t>
      </w:r>
      <w:r w:rsidR="00E00239">
        <w:rPr>
          <w:rFonts w:ascii="Times New Roman" w:eastAsia="Times New Roman" w:hAnsi="Times New Roman" w:cs="Times New Roman"/>
          <w:kern w:val="0"/>
          <w:sz w:val="24"/>
          <w:szCs w:val="24"/>
          <w:lang w:eastAsia="en-IN"/>
          <w14:ligatures w14:val="none"/>
        </w:rPr>
        <w:t>6</w:t>
      </w:r>
      <w:r w:rsidR="00E00239" w:rsidRPr="004701E7">
        <w:rPr>
          <w:rFonts w:ascii="Times New Roman" w:eastAsia="Times New Roman" w:hAnsi="Times New Roman" w:cs="Times New Roman"/>
          <w:kern w:val="0"/>
          <w:sz w:val="24"/>
          <w:szCs w:val="24"/>
          <w:lang w:eastAsia="en-IN"/>
          <w14:ligatures w14:val="none"/>
        </w:rPr>
        <w:t>)</w:t>
      </w:r>
      <w:r w:rsidRPr="004701E7">
        <w:rPr>
          <w:rFonts w:ascii="Times New Roman" w:eastAsia="Times New Roman" w:hAnsi="Times New Roman" w:cs="Times New Roman"/>
          <w:kern w:val="0"/>
          <w:sz w:val="24"/>
          <w:szCs w:val="24"/>
          <w:lang w:eastAsia="en-IN"/>
          <w14:ligatures w14:val="none"/>
        </w:rPr>
        <w:t xml:space="preserve">. However, such services are limited and do not reach all affected individuals </w:t>
      </w:r>
      <w:r w:rsidR="00B024FE" w:rsidRPr="004701E7">
        <w:rPr>
          <w:rFonts w:ascii="Times New Roman" w:eastAsia="Times New Roman" w:hAnsi="Times New Roman" w:cs="Times New Roman"/>
          <w:kern w:val="0"/>
          <w:sz w:val="24"/>
          <w:szCs w:val="24"/>
          <w:lang w:eastAsia="en-IN"/>
          <w14:ligatures w14:val="none"/>
        </w:rPr>
        <w:t>(</w:t>
      </w:r>
      <w:r w:rsidR="00B024FE" w:rsidRPr="008C2C24">
        <w:rPr>
          <w:rFonts w:ascii="Times New Roman" w:eastAsia="Times New Roman" w:hAnsi="Times New Roman" w:cs="Times New Roman"/>
          <w:kern w:val="0"/>
          <w:sz w:val="24"/>
          <w:szCs w:val="24"/>
          <w:lang w:eastAsia="en-IN"/>
          <w14:ligatures w14:val="none"/>
        </w:rPr>
        <w:t>Saha, 2024</w:t>
      </w:r>
      <w:r w:rsidR="00B024FE" w:rsidRPr="004701E7">
        <w:rPr>
          <w:rFonts w:ascii="Times New Roman" w:eastAsia="Times New Roman" w:hAnsi="Times New Roman" w:cs="Times New Roman"/>
          <w:kern w:val="0"/>
          <w:sz w:val="24"/>
          <w:szCs w:val="24"/>
          <w:lang w:eastAsia="en-IN"/>
          <w14:ligatures w14:val="none"/>
        </w:rPr>
        <w:t>)</w:t>
      </w:r>
      <w:r w:rsidRPr="004701E7">
        <w:rPr>
          <w:rFonts w:ascii="Times New Roman" w:eastAsia="Times New Roman" w:hAnsi="Times New Roman" w:cs="Times New Roman"/>
          <w:kern w:val="0"/>
          <w:sz w:val="24"/>
          <w:szCs w:val="24"/>
          <w:lang w:eastAsia="en-IN"/>
          <w14:ligatures w14:val="none"/>
        </w:rPr>
        <w:t>.</w:t>
      </w:r>
    </w:p>
    <w:p w14:paraId="1A698E06" w14:textId="77777777" w:rsidR="004701E7" w:rsidRPr="004701E7" w:rsidRDefault="004701E7" w:rsidP="004701E7">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701E7">
        <w:rPr>
          <w:rFonts w:ascii="Times New Roman" w:eastAsia="Times New Roman" w:hAnsi="Times New Roman" w:cs="Times New Roman"/>
          <w:b/>
          <w:bCs/>
          <w:kern w:val="0"/>
          <w:sz w:val="36"/>
          <w:szCs w:val="36"/>
          <w:lang w:eastAsia="en-IN"/>
          <w14:ligatures w14:val="none"/>
        </w:rPr>
        <w:t>4. Policy Implications and Recommendations</w:t>
      </w:r>
    </w:p>
    <w:p w14:paraId="5E7A4C94" w14:textId="77777777" w:rsidR="004701E7" w:rsidRPr="004701E7" w:rsidRDefault="004701E7" w:rsidP="004701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4.1 Enhancing Livelihood Opportunities</w:t>
      </w:r>
    </w:p>
    <w:p w14:paraId="14D89FC9" w14:textId="655C74DC" w:rsidR="004701E7" w:rsidRPr="004701E7" w:rsidRDefault="004701E7" w:rsidP="004701E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701E7">
        <w:rPr>
          <w:rFonts w:ascii="Times New Roman" w:eastAsia="Times New Roman" w:hAnsi="Times New Roman" w:cs="Times New Roman"/>
          <w:kern w:val="0"/>
          <w:sz w:val="24"/>
          <w:szCs w:val="24"/>
          <w:lang w:eastAsia="en-IN"/>
          <w14:ligatures w14:val="none"/>
        </w:rPr>
        <w:t>To reduce dependence on forest resources, it is imperative to develop and promote sustainable livelihood alternatives for communities in the Sundarbans. Initiatives such as skill development programs, promotion of eco-tourism, and support for small-scale enterprises can provide viable income sources and mitigate the risks associated with forest-based livelihoods</w:t>
      </w:r>
      <w:r w:rsidR="0023295B">
        <w:rPr>
          <w:rFonts w:ascii="Times New Roman" w:eastAsia="Times New Roman" w:hAnsi="Times New Roman" w:cs="Times New Roman"/>
          <w:kern w:val="0"/>
          <w:sz w:val="24"/>
          <w:szCs w:val="24"/>
          <w:lang w:eastAsia="en-IN"/>
          <w14:ligatures w14:val="none"/>
        </w:rPr>
        <w:t xml:space="preserve"> (Jamal et al., 2022)</w:t>
      </w:r>
      <w:r w:rsidRPr="004701E7">
        <w:rPr>
          <w:rFonts w:ascii="Times New Roman" w:eastAsia="Times New Roman" w:hAnsi="Times New Roman" w:cs="Times New Roman"/>
          <w:kern w:val="0"/>
          <w:sz w:val="24"/>
          <w:szCs w:val="24"/>
          <w:lang w:eastAsia="en-IN"/>
          <w14:ligatures w14:val="none"/>
        </w:rPr>
        <w:t>.</w:t>
      </w:r>
    </w:p>
    <w:p w14:paraId="5576A993" w14:textId="77777777" w:rsidR="004701E7" w:rsidRPr="004701E7" w:rsidRDefault="004701E7" w:rsidP="004701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4.2 Streamlining Compensation Processes</w:t>
      </w:r>
    </w:p>
    <w:p w14:paraId="44545826" w14:textId="2B715011" w:rsidR="004701E7" w:rsidRPr="004701E7" w:rsidRDefault="004701E7" w:rsidP="000F5B65">
      <w:pPr>
        <w:pStyle w:val="NormalWeb"/>
      </w:pPr>
      <w:r w:rsidRPr="004701E7">
        <w:t>Simplifying and expediting the compensation process for wildlife attack victims is crucial. This includes revising eligibility criteria to accommodate the realities of forest-dependent communities and ensuring timely disbursement of funds to support the immediate needs of tiger widows</w:t>
      </w:r>
      <w:r w:rsidR="000F5B65">
        <w:t xml:space="preserve"> (Jamal et al., 2022), (Gulati et al., 2021), (</w:t>
      </w:r>
      <w:proofErr w:type="spellStart"/>
      <w:r w:rsidR="000F5B65">
        <w:t>Manral</w:t>
      </w:r>
      <w:proofErr w:type="spellEnd"/>
      <w:r w:rsidR="000F5B65">
        <w:t xml:space="preserve"> et al., 20216)</w:t>
      </w:r>
      <w:r w:rsidRPr="004701E7">
        <w:t>.</w:t>
      </w:r>
    </w:p>
    <w:p w14:paraId="72C68B49" w14:textId="77777777" w:rsidR="004701E7" w:rsidRPr="004701E7" w:rsidRDefault="004701E7" w:rsidP="004701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4.3 Addressing Social Stigma</w:t>
      </w:r>
    </w:p>
    <w:p w14:paraId="45DA556C" w14:textId="645526DD" w:rsidR="004701E7" w:rsidRPr="004701E7" w:rsidRDefault="004701E7" w:rsidP="00226629">
      <w:pPr>
        <w:pStyle w:val="NormalWeb"/>
      </w:pPr>
      <w:r w:rsidRPr="004701E7">
        <w:lastRenderedPageBreak/>
        <w:t xml:space="preserve">Community awareness programs are essential to challenge and change the cultural stigmas associated with tiger widows. Engaging local leaders, utilizing folk media, and incorporating educational modules can foster a more inclusive and supportive community </w:t>
      </w:r>
      <w:proofErr w:type="gramStart"/>
      <w:r w:rsidRPr="004701E7">
        <w:t>environment</w:t>
      </w:r>
      <w:r w:rsidR="00226629">
        <w:t xml:space="preserve"> </w:t>
      </w:r>
      <w:r w:rsidR="00B024FE">
        <w:t>)</w:t>
      </w:r>
      <w:proofErr w:type="gramEnd"/>
      <w:r w:rsidR="00B024FE">
        <w:t xml:space="preserve">, </w:t>
      </w:r>
      <w:r w:rsidR="00B024FE" w:rsidRPr="004701E7">
        <w:t>(Chowdhury et al., 201</w:t>
      </w:r>
      <w:r w:rsidR="00B024FE">
        <w:t>6</w:t>
      </w:r>
      <w:r w:rsidR="00B024FE" w:rsidRPr="004701E7">
        <w:t>)</w:t>
      </w:r>
      <w:r w:rsidR="00B024FE" w:rsidRPr="00226629">
        <w:t xml:space="preserve"> </w:t>
      </w:r>
      <w:r w:rsidR="00226629" w:rsidRPr="00226629">
        <w:t>(Mallick et al., 2021</w:t>
      </w:r>
      <w:r w:rsidRPr="004701E7">
        <w:t>).</w:t>
      </w:r>
    </w:p>
    <w:p w14:paraId="640BEB45" w14:textId="77777777" w:rsidR="004701E7" w:rsidRPr="004701E7" w:rsidRDefault="004701E7" w:rsidP="004701E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4.4 Expanding Mental Health Services</w:t>
      </w:r>
    </w:p>
    <w:p w14:paraId="384DAA81" w14:textId="7C7B0F60" w:rsidR="004701E7" w:rsidRPr="004701E7" w:rsidRDefault="004701E7" w:rsidP="004701E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701E7">
        <w:rPr>
          <w:rFonts w:ascii="Times New Roman" w:eastAsia="Times New Roman" w:hAnsi="Times New Roman" w:cs="Times New Roman"/>
          <w:kern w:val="0"/>
          <w:sz w:val="24"/>
          <w:szCs w:val="24"/>
          <w:lang w:eastAsia="en-IN"/>
          <w14:ligatures w14:val="none"/>
        </w:rPr>
        <w:t xml:space="preserve">There is a pressing need to expand mental health services in the Sundarbans region. This can be achieved by training local health workers in basic mental health care, establishing </w:t>
      </w:r>
      <w:proofErr w:type="spellStart"/>
      <w:r w:rsidRPr="004701E7">
        <w:rPr>
          <w:rFonts w:ascii="Times New Roman" w:eastAsia="Times New Roman" w:hAnsi="Times New Roman" w:cs="Times New Roman"/>
          <w:kern w:val="0"/>
          <w:sz w:val="24"/>
          <w:szCs w:val="24"/>
          <w:lang w:eastAsia="en-IN"/>
          <w14:ligatures w14:val="none"/>
        </w:rPr>
        <w:t>counseling</w:t>
      </w:r>
      <w:proofErr w:type="spellEnd"/>
      <w:r w:rsidRPr="004701E7">
        <w:rPr>
          <w:rFonts w:ascii="Times New Roman" w:eastAsia="Times New Roman" w:hAnsi="Times New Roman" w:cs="Times New Roman"/>
          <w:kern w:val="0"/>
          <w:sz w:val="24"/>
          <w:szCs w:val="24"/>
          <w:lang w:eastAsia="en-IN"/>
          <w14:ligatures w14:val="none"/>
        </w:rPr>
        <w:t xml:space="preserve"> </w:t>
      </w:r>
      <w:proofErr w:type="spellStart"/>
      <w:r w:rsidRPr="004701E7">
        <w:rPr>
          <w:rFonts w:ascii="Times New Roman" w:eastAsia="Times New Roman" w:hAnsi="Times New Roman" w:cs="Times New Roman"/>
          <w:kern w:val="0"/>
          <w:sz w:val="24"/>
          <w:szCs w:val="24"/>
          <w:lang w:eastAsia="en-IN"/>
          <w14:ligatures w14:val="none"/>
        </w:rPr>
        <w:t>centers</w:t>
      </w:r>
      <w:proofErr w:type="spellEnd"/>
      <w:r w:rsidRPr="004701E7">
        <w:rPr>
          <w:rFonts w:ascii="Times New Roman" w:eastAsia="Times New Roman" w:hAnsi="Times New Roman" w:cs="Times New Roman"/>
          <w:kern w:val="0"/>
          <w:sz w:val="24"/>
          <w:szCs w:val="24"/>
          <w:lang w:eastAsia="en-IN"/>
          <w14:ligatures w14:val="none"/>
        </w:rPr>
        <w:t xml:space="preserve">, and integrating mental health services into existing healthcare infrastructure to ensure accessibility for tiger widows </w:t>
      </w:r>
      <w:r w:rsidR="00E00239" w:rsidRPr="004701E7">
        <w:rPr>
          <w:rFonts w:ascii="Times New Roman" w:eastAsia="Times New Roman" w:hAnsi="Times New Roman" w:cs="Times New Roman"/>
          <w:kern w:val="0"/>
          <w:sz w:val="24"/>
          <w:szCs w:val="24"/>
          <w:lang w:eastAsia="en-IN"/>
          <w14:ligatures w14:val="none"/>
        </w:rPr>
        <w:t>(Chowdhury et al., 201</w:t>
      </w:r>
      <w:r w:rsidR="00E00239">
        <w:rPr>
          <w:rFonts w:ascii="Times New Roman" w:eastAsia="Times New Roman" w:hAnsi="Times New Roman" w:cs="Times New Roman"/>
          <w:kern w:val="0"/>
          <w:sz w:val="24"/>
          <w:szCs w:val="24"/>
          <w:lang w:eastAsia="en-IN"/>
          <w14:ligatures w14:val="none"/>
        </w:rPr>
        <w:t>6</w:t>
      </w:r>
      <w:r w:rsidR="00E00239" w:rsidRPr="004701E7">
        <w:rPr>
          <w:rFonts w:ascii="Times New Roman" w:eastAsia="Times New Roman" w:hAnsi="Times New Roman" w:cs="Times New Roman"/>
          <w:kern w:val="0"/>
          <w:sz w:val="24"/>
          <w:szCs w:val="24"/>
          <w:lang w:eastAsia="en-IN"/>
          <w14:ligatures w14:val="none"/>
        </w:rPr>
        <w:t>)</w:t>
      </w:r>
      <w:r w:rsidRPr="004701E7">
        <w:rPr>
          <w:rFonts w:ascii="Times New Roman" w:eastAsia="Times New Roman" w:hAnsi="Times New Roman" w:cs="Times New Roman"/>
          <w:kern w:val="0"/>
          <w:sz w:val="24"/>
          <w:szCs w:val="24"/>
          <w:lang w:eastAsia="en-IN"/>
          <w14:ligatures w14:val="none"/>
        </w:rPr>
        <w:t>.</w:t>
      </w:r>
    </w:p>
    <w:p w14:paraId="1692FB0C" w14:textId="77777777" w:rsidR="004701E7" w:rsidRPr="004701E7" w:rsidRDefault="004701E7" w:rsidP="004701E7">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701E7">
        <w:rPr>
          <w:rFonts w:ascii="Times New Roman" w:eastAsia="Times New Roman" w:hAnsi="Times New Roman" w:cs="Times New Roman"/>
          <w:b/>
          <w:bCs/>
          <w:kern w:val="0"/>
          <w:sz w:val="36"/>
          <w:szCs w:val="36"/>
          <w:lang w:eastAsia="en-IN"/>
          <w14:ligatures w14:val="none"/>
        </w:rPr>
        <w:t>5. Conclusion</w:t>
      </w:r>
    </w:p>
    <w:p w14:paraId="1FB5A938" w14:textId="77777777" w:rsidR="004701E7" w:rsidRDefault="004701E7" w:rsidP="004701E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701E7">
        <w:rPr>
          <w:rFonts w:ascii="Times New Roman" w:eastAsia="Times New Roman" w:hAnsi="Times New Roman" w:cs="Times New Roman"/>
          <w:kern w:val="0"/>
          <w:sz w:val="24"/>
          <w:szCs w:val="24"/>
          <w:lang w:eastAsia="en-IN"/>
          <w14:ligatures w14:val="none"/>
        </w:rPr>
        <w:t>The plight of tiger widows in the Sundarbans underscores the intricate interplay between environmental conservation and human welfare. Addressing their socio-economic challenges requires a multifaceted approach that encompasses economic support, social inclusion, mental health care, and policy reforms. By implementing comprehensive strategies, it is possible to improve the lives of tiger widows and foster a more resilient and equitable community in the Sundarbans.</w:t>
      </w:r>
    </w:p>
    <w:p w14:paraId="6C91BCB5" w14:textId="14FAAFBA" w:rsidR="007128DC" w:rsidRPr="004701E7" w:rsidRDefault="007128DC" w:rsidP="007128D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128DC">
        <w:rPr>
          <w:rFonts w:ascii="Times New Roman" w:eastAsia="Times New Roman" w:hAnsi="Times New Roman" w:cs="Times New Roman"/>
          <w:b/>
          <w:bCs/>
          <w:kern w:val="0"/>
          <w:sz w:val="36"/>
          <w:szCs w:val="36"/>
          <w:lang w:eastAsia="en-IN"/>
          <w14:ligatures w14:val="none"/>
        </w:rPr>
        <w:t>References</w:t>
      </w:r>
    </w:p>
    <w:p w14:paraId="2AE4ABF4" w14:textId="77777777" w:rsidR="00ED77FE" w:rsidRPr="0023295B" w:rsidRDefault="00ED77FE" w:rsidP="004701E7">
      <w:pPr>
        <w:pStyle w:val="NormalWeb"/>
      </w:pPr>
      <w:r w:rsidRPr="0023295B">
        <w:t xml:space="preserve">Ahsan, M. N., Vink, K., &amp; Takeuchi, K. (2017). Livelihood strategies and resource dependency nexus in the Sundarbans. Participatory mangrove management in a changing climate: Perspectives from the Asia-Pacific, 137-160. </w:t>
      </w:r>
      <w:hyperlink r:id="rId6" w:history="1">
        <w:r w:rsidRPr="0023295B">
          <w:rPr>
            <w:rStyle w:val="Hyperlink"/>
          </w:rPr>
          <w:t>https://doi.org/10.1007/978-4-431-56481-2_9</w:t>
        </w:r>
      </w:hyperlink>
      <w:r w:rsidRPr="0023295B">
        <w:t xml:space="preserve"> </w:t>
      </w:r>
    </w:p>
    <w:p w14:paraId="21A58895" w14:textId="77777777" w:rsidR="00ED77FE" w:rsidRPr="0023295B" w:rsidRDefault="00ED77FE" w:rsidP="004701E7">
      <w:pPr>
        <w:pStyle w:val="NormalWeb"/>
      </w:pPr>
      <w:r w:rsidRPr="0023295B">
        <w:t xml:space="preserve">Basu, M., &amp; Mondal, A. P (2023). The Plight of the Tiger Widows in the Sundarbans: An Empirical Study. </w:t>
      </w:r>
      <w:proofErr w:type="spellStart"/>
      <w:r w:rsidRPr="0023295B">
        <w:t>Anudhyan</w:t>
      </w:r>
      <w:proofErr w:type="spellEnd"/>
      <w:r w:rsidRPr="0023295B">
        <w:t xml:space="preserve"> An International Journal of Social Sciences, </w:t>
      </w:r>
      <w:proofErr w:type="gramStart"/>
      <w:r w:rsidRPr="0023295B">
        <w:t>ISSN :</w:t>
      </w:r>
      <w:proofErr w:type="gramEnd"/>
      <w:r w:rsidRPr="0023295B">
        <w:t xml:space="preserve"> 2455-6319, 187. </w:t>
      </w:r>
      <w:hyperlink r:id="rId7" w:anchor="page=188" w:history="1">
        <w:r w:rsidRPr="0023295B">
          <w:rPr>
            <w:rStyle w:val="Hyperlink"/>
          </w:rPr>
          <w:t>https://rnlkwc.ac.in/pdf/Anudhyan-23.pdf#page=188</w:t>
        </w:r>
      </w:hyperlink>
      <w:r w:rsidRPr="0023295B">
        <w:t xml:space="preserve"> </w:t>
      </w:r>
    </w:p>
    <w:p w14:paraId="667586E8" w14:textId="77777777" w:rsidR="00ED77FE" w:rsidRPr="0023295B" w:rsidRDefault="00ED77FE" w:rsidP="004701E7">
      <w:pPr>
        <w:pStyle w:val="NormalWeb"/>
      </w:pPr>
      <w:r w:rsidRPr="0023295B">
        <w:t xml:space="preserve">Bera, R., &amp; Maiti, R. (2022). Mangrove dependency and livelihood challenges—A study on Sundarbans, India. Regional Studies in Marine Science, 50, 102135. </w:t>
      </w:r>
      <w:hyperlink r:id="rId8" w:history="1">
        <w:r w:rsidRPr="0023295B">
          <w:rPr>
            <w:rStyle w:val="Hyperlink"/>
          </w:rPr>
          <w:t>https://doi.org/10.1016/j.rsma.2021.102135</w:t>
        </w:r>
      </w:hyperlink>
      <w:r w:rsidRPr="0023295B">
        <w:t xml:space="preserve"> </w:t>
      </w:r>
    </w:p>
    <w:p w14:paraId="45C556C3" w14:textId="77777777" w:rsidR="00ED77FE" w:rsidRPr="0023295B" w:rsidRDefault="00ED77FE" w:rsidP="00DA2A4E">
      <w:pPr>
        <w:pStyle w:val="NormalWeb"/>
      </w:pPr>
      <w:r w:rsidRPr="0023295B">
        <w:t xml:space="preserve">Chowdhury, A. N., Brahma, A., Mondal, R., &amp; Biswas, M. K. (2016). Stigma of tiger attack: Study of tiger-widows from Sundarban Delta, India. Indian journal of psychiatry, 58(1), 12–19. </w:t>
      </w:r>
      <w:hyperlink r:id="rId9" w:history="1">
        <w:r w:rsidRPr="0023295B">
          <w:rPr>
            <w:rStyle w:val="Hyperlink"/>
          </w:rPr>
          <w:t>https://doi.org/10.4103/0019-5545.174355</w:t>
        </w:r>
      </w:hyperlink>
      <w:r w:rsidRPr="0023295B">
        <w:t xml:space="preserve"> </w:t>
      </w:r>
    </w:p>
    <w:p w14:paraId="3E9E4092" w14:textId="77777777" w:rsidR="00ED77FE" w:rsidRPr="0023295B" w:rsidRDefault="00ED77FE" w:rsidP="004701E7">
      <w:pPr>
        <w:pStyle w:val="NormalWeb"/>
      </w:pPr>
      <w:r w:rsidRPr="0023295B">
        <w:t xml:space="preserve">Chowdhury, A. N., Mondal, R., Brahma, A., &amp; Biswas, M. K. (2008). Eco-psychiatry and environmental conservation: study from Sundarban Delta, India. Environmental Health Insights, 2, EHI-S935. </w:t>
      </w:r>
      <w:hyperlink r:id="rId10" w:history="1">
        <w:r w:rsidRPr="0023295B">
          <w:rPr>
            <w:rStyle w:val="Hyperlink"/>
          </w:rPr>
          <w:t>https://doi.org/10.4137/EHI.S935</w:t>
        </w:r>
      </w:hyperlink>
      <w:r w:rsidRPr="0023295B">
        <w:t xml:space="preserve"> </w:t>
      </w:r>
    </w:p>
    <w:p w14:paraId="581FF0B0" w14:textId="77777777" w:rsidR="00ED77FE" w:rsidRPr="0023295B" w:rsidRDefault="00ED77FE" w:rsidP="004701E7">
      <w:pPr>
        <w:pStyle w:val="NormalWeb"/>
      </w:pPr>
      <w:r w:rsidRPr="0023295B">
        <w:t xml:space="preserve">Chowdhury, A. N., Mondal, R., Brahma, A., &amp; Biswas, M. K. (2014). Culture and stigma: ethnographic case studies of tiger-widows of Sundarban Delta, India. World Cult Psychiatry Res Rev, 9(3), 99-122. </w:t>
      </w:r>
    </w:p>
    <w:p w14:paraId="5C616CFF" w14:textId="77777777" w:rsidR="00ED77FE" w:rsidRPr="0023295B" w:rsidRDefault="00ED77FE" w:rsidP="004701E7">
      <w:pPr>
        <w:pStyle w:val="NormalWeb"/>
      </w:pPr>
      <w:r w:rsidRPr="0023295B">
        <w:lastRenderedPageBreak/>
        <w:t xml:space="preserve">Dhar, S. B., &amp; Mondal, S. (2023). Nature of human–tiger conflict in Indian Sundarban. Trees, Forests and People, 12, 100401. </w:t>
      </w:r>
      <w:hyperlink r:id="rId11" w:history="1">
        <w:r w:rsidRPr="0023295B">
          <w:rPr>
            <w:rStyle w:val="Hyperlink"/>
          </w:rPr>
          <w:t>https://doi.org/10.1016/j.tfp.2023.100401</w:t>
        </w:r>
      </w:hyperlink>
      <w:r w:rsidRPr="0023295B">
        <w:t xml:space="preserve">  </w:t>
      </w:r>
    </w:p>
    <w:p w14:paraId="209F6368" w14:textId="77777777" w:rsidR="00ED77FE" w:rsidRPr="0023295B" w:rsidRDefault="00ED77FE" w:rsidP="009E14FF">
      <w:pPr>
        <w:pStyle w:val="NormalWeb"/>
      </w:pPr>
      <w:r w:rsidRPr="0023295B">
        <w:t xml:space="preserve">Ghosh, A., Schmidt, S., Fickert, T., &amp; </w:t>
      </w:r>
      <w:proofErr w:type="spellStart"/>
      <w:r w:rsidRPr="0023295B">
        <w:t>Nüsser</w:t>
      </w:r>
      <w:proofErr w:type="spellEnd"/>
      <w:r w:rsidRPr="0023295B">
        <w:t xml:space="preserve">, M. (2015). The Indian Sundarban mangrove forests: history, utilization, conservation strategies and local perception. Diversity, 7(2), 149-169. </w:t>
      </w:r>
      <w:hyperlink r:id="rId12" w:history="1">
        <w:r w:rsidRPr="0023295B">
          <w:rPr>
            <w:rStyle w:val="Hyperlink"/>
          </w:rPr>
          <w:t>https://doi.org/10.3390/d7020149</w:t>
        </w:r>
      </w:hyperlink>
      <w:r w:rsidRPr="0023295B">
        <w:t xml:space="preserve"> </w:t>
      </w:r>
    </w:p>
    <w:p w14:paraId="1DB54E6C" w14:textId="77777777" w:rsidR="00ED77FE" w:rsidRPr="0023295B" w:rsidRDefault="00ED77FE" w:rsidP="004701E7">
      <w:pPr>
        <w:pStyle w:val="NormalWeb"/>
      </w:pPr>
      <w:r w:rsidRPr="0023295B">
        <w:t xml:space="preserve">Gulati, S., Karanth, K. K., Le, N. A., &amp; Noack, F. (2021). Human casualties are the dominant cost of human–wildlife conflict in India. Proceedings of the National Academy of Sciences, 118(8), e1921338118. </w:t>
      </w:r>
      <w:hyperlink r:id="rId13" w:history="1">
        <w:r w:rsidRPr="0023295B">
          <w:rPr>
            <w:rStyle w:val="Hyperlink"/>
          </w:rPr>
          <w:t>https://doi.org/10.1073/pnas.1921338118</w:t>
        </w:r>
      </w:hyperlink>
      <w:r w:rsidRPr="0023295B">
        <w:t xml:space="preserve"> </w:t>
      </w:r>
    </w:p>
    <w:p w14:paraId="4F8E3D35" w14:textId="77777777" w:rsidR="00ED77FE" w:rsidRPr="0023295B" w:rsidRDefault="00ED77FE" w:rsidP="004701E7">
      <w:pPr>
        <w:pStyle w:val="NormalWeb"/>
      </w:pPr>
      <w:r w:rsidRPr="0023295B">
        <w:t xml:space="preserve">Islam, M. M., Rahman, M. A., Khan, M. S., Mondal, G., &amp; Khan, M. I. (2021). Transformational adaptations to climatic hazards: Insights from mangroves-based coastal fisheries dependent communities of Bangladesh. Marine Policy, 128, 104475. </w:t>
      </w:r>
      <w:hyperlink r:id="rId14" w:history="1">
        <w:r w:rsidRPr="0023295B">
          <w:rPr>
            <w:rStyle w:val="Hyperlink"/>
          </w:rPr>
          <w:t>https://doi.org/10.1016/j.marpol.2021.104475</w:t>
        </w:r>
      </w:hyperlink>
      <w:r w:rsidRPr="0023295B">
        <w:t xml:space="preserve"> </w:t>
      </w:r>
    </w:p>
    <w:p w14:paraId="1ECEE808" w14:textId="77777777" w:rsidR="00ED77FE" w:rsidRPr="0023295B" w:rsidRDefault="00ED77FE" w:rsidP="004701E7">
      <w:pPr>
        <w:pStyle w:val="NormalWeb"/>
      </w:pPr>
      <w:proofErr w:type="spellStart"/>
      <w:r w:rsidRPr="0023295B">
        <w:t>Jalais</w:t>
      </w:r>
      <w:proofErr w:type="spellEnd"/>
      <w:r w:rsidRPr="0023295B">
        <w:t xml:space="preserve">, A. (2010). </w:t>
      </w:r>
      <w:r w:rsidRPr="0023295B">
        <w:rPr>
          <w:rStyle w:val="Emphasis"/>
          <w:rFonts w:eastAsiaTheme="majorEastAsia"/>
        </w:rPr>
        <w:t>Forest of Tigers: People, Politics and Environment in the Sundarbans.</w:t>
      </w:r>
      <w:r w:rsidRPr="0023295B">
        <w:t xml:space="preserve"> Routledge. </w:t>
      </w:r>
      <w:hyperlink r:id="rId15" w:history="1">
        <w:r w:rsidRPr="0023295B">
          <w:rPr>
            <w:rStyle w:val="Hyperlink"/>
          </w:rPr>
          <w:t>https://doi.org/10.4324/9780203085516</w:t>
        </w:r>
      </w:hyperlink>
      <w:r w:rsidRPr="0023295B">
        <w:t xml:space="preserve"> </w:t>
      </w:r>
    </w:p>
    <w:p w14:paraId="02A84337" w14:textId="77777777" w:rsidR="00ED77FE" w:rsidRPr="0023295B" w:rsidRDefault="00ED77FE" w:rsidP="004701E7">
      <w:pPr>
        <w:pStyle w:val="NormalWeb"/>
      </w:pPr>
      <w:r w:rsidRPr="0023295B">
        <w:t xml:space="preserve">Jamal, S., Ghosh, A., Hazarika, R., &amp; Sen, A. (2022). Livelihood, conflict and tourism: An assessment of livelihood impact in Sundarbans, West Bengal. International Journal of </w:t>
      </w:r>
      <w:proofErr w:type="spellStart"/>
      <w:r w:rsidRPr="0023295B">
        <w:t>Geoheritage</w:t>
      </w:r>
      <w:proofErr w:type="spellEnd"/>
      <w:r w:rsidRPr="0023295B">
        <w:t xml:space="preserve"> and Parks, 10(3), 383-399. </w:t>
      </w:r>
      <w:hyperlink r:id="rId16" w:history="1">
        <w:r w:rsidRPr="0023295B">
          <w:rPr>
            <w:rStyle w:val="Hyperlink"/>
          </w:rPr>
          <w:t>https://doi.org/10.1016/j.ijgeop.2022.07.004</w:t>
        </w:r>
      </w:hyperlink>
      <w:r w:rsidRPr="0023295B">
        <w:t xml:space="preserve"> </w:t>
      </w:r>
    </w:p>
    <w:p w14:paraId="0C275353" w14:textId="77777777" w:rsidR="00ED77FE" w:rsidRPr="0023295B" w:rsidRDefault="00ED77FE" w:rsidP="004701E7">
      <w:pPr>
        <w:pStyle w:val="NormalWeb"/>
      </w:pPr>
      <w:r w:rsidRPr="0023295B">
        <w:t xml:space="preserve">Mallick, B., </w:t>
      </w:r>
      <w:proofErr w:type="spellStart"/>
      <w:r w:rsidRPr="0023295B">
        <w:t>Priodarshini</w:t>
      </w:r>
      <w:proofErr w:type="spellEnd"/>
      <w:r w:rsidRPr="0023295B">
        <w:t xml:space="preserve">, R., </w:t>
      </w:r>
      <w:proofErr w:type="spellStart"/>
      <w:r w:rsidRPr="0023295B">
        <w:t>Kimengsi</w:t>
      </w:r>
      <w:proofErr w:type="spellEnd"/>
      <w:r w:rsidRPr="0023295B">
        <w:t xml:space="preserve">, J. N., Biswas, B., Hausmann, A. E., Islam, S., ... &amp; Vogt, J. (2021). Livelihoods dependence on mangrove ecosystems: Empirical evidence from the Sundarbans. Current Research in Environmental Sustainability, 3, 100077. </w:t>
      </w:r>
      <w:hyperlink r:id="rId17" w:history="1">
        <w:r w:rsidRPr="0023295B">
          <w:rPr>
            <w:rStyle w:val="Hyperlink"/>
          </w:rPr>
          <w:t>https://doi.org/10.1016/j.crsust.2021.100077</w:t>
        </w:r>
      </w:hyperlink>
      <w:r w:rsidRPr="0023295B">
        <w:t xml:space="preserve"> </w:t>
      </w:r>
    </w:p>
    <w:p w14:paraId="5BB44F6D" w14:textId="77777777" w:rsidR="00ED77FE" w:rsidRPr="0023295B" w:rsidRDefault="00ED77FE" w:rsidP="004701E7">
      <w:pPr>
        <w:pStyle w:val="NormalWeb"/>
      </w:pPr>
      <w:proofErr w:type="spellStart"/>
      <w:r w:rsidRPr="0023295B">
        <w:t>Manral</w:t>
      </w:r>
      <w:proofErr w:type="spellEnd"/>
      <w:r w:rsidRPr="0023295B">
        <w:t xml:space="preserve">, U., Sengupta, S., Hussain, S. A., Rana, S. A. K. S. H. I., &amp; </w:t>
      </w:r>
      <w:proofErr w:type="spellStart"/>
      <w:r w:rsidRPr="0023295B">
        <w:t>Badola</w:t>
      </w:r>
      <w:proofErr w:type="spellEnd"/>
      <w:r w:rsidRPr="0023295B">
        <w:t xml:space="preserve">, R. U. C. H. I. (2016). Human wildlife conflict in India: a review of economic implication of loss and preventive measures. Indian Forester, 142(10), 928-940. </w:t>
      </w:r>
    </w:p>
    <w:p w14:paraId="2F57E2E1" w14:textId="77777777" w:rsidR="00ED77FE" w:rsidRDefault="00ED77FE" w:rsidP="004701E7">
      <w:pPr>
        <w:pStyle w:val="NormalWeb"/>
      </w:pPr>
      <w:r w:rsidRPr="00ED77FE">
        <w:t>Mondal, M., Biswas, A., Haldar, S., Mandal, S., Mandal, P., Bhattacharya, S., &amp; Paul, S. (2022). Climate change, multi-hazards and society: An empirical study on the coastal community of Indian Sundarban. Natural Hazards Research, 2(2), 84-96.</w:t>
      </w:r>
      <w:r>
        <w:t xml:space="preserve"> </w:t>
      </w:r>
      <w:hyperlink r:id="rId18" w:history="1">
        <w:r w:rsidRPr="00267C8D">
          <w:rPr>
            <w:rStyle w:val="Hyperlink"/>
          </w:rPr>
          <w:t>https://doi.org/10.1016/j.nhres.2022.04.002</w:t>
        </w:r>
      </w:hyperlink>
      <w:r>
        <w:t xml:space="preserve"> </w:t>
      </w:r>
    </w:p>
    <w:p w14:paraId="59A79792" w14:textId="77777777" w:rsidR="00ED77FE" w:rsidRPr="0023295B" w:rsidRDefault="00ED77FE" w:rsidP="009E14FF">
      <w:pPr>
        <w:pStyle w:val="NormalWeb"/>
      </w:pPr>
      <w:proofErr w:type="spellStart"/>
      <w:r w:rsidRPr="0023295B">
        <w:t>Rajoana</w:t>
      </w:r>
      <w:proofErr w:type="spellEnd"/>
      <w:r w:rsidRPr="0023295B">
        <w:t xml:space="preserve">, J., &amp; Saxena, G. (2022). Role of Sundarbans </w:t>
      </w:r>
      <w:proofErr w:type="spellStart"/>
      <w:r w:rsidRPr="0023295B">
        <w:t>bagh</w:t>
      </w:r>
      <w:proofErr w:type="spellEnd"/>
      <w:r w:rsidRPr="0023295B">
        <w:t xml:space="preserve"> </w:t>
      </w:r>
      <w:proofErr w:type="spellStart"/>
      <w:r w:rsidRPr="0023295B">
        <w:t>bidhwa</w:t>
      </w:r>
      <w:proofErr w:type="spellEnd"/>
      <w:r w:rsidRPr="0023295B">
        <w:t xml:space="preserve"> entrepreneurs in tourism. Annals of Tourism Research, 97, 103486. </w:t>
      </w:r>
      <w:hyperlink r:id="rId19" w:history="1">
        <w:r w:rsidRPr="0023295B">
          <w:rPr>
            <w:rStyle w:val="Hyperlink"/>
          </w:rPr>
          <w:t>https://doi.org/10.1016/j.annals.2022.103486</w:t>
        </w:r>
      </w:hyperlink>
      <w:r w:rsidRPr="0023295B">
        <w:t xml:space="preserve"> </w:t>
      </w:r>
    </w:p>
    <w:p w14:paraId="0D6EA0F9" w14:textId="77777777" w:rsidR="00ED77FE" w:rsidRPr="0023295B" w:rsidRDefault="00ED77FE" w:rsidP="00981B5E">
      <w:pPr>
        <w:pStyle w:val="NormalWeb"/>
      </w:pPr>
      <w:r w:rsidRPr="0023295B">
        <w:t>Saha, S. (2024). The Plight of the Tiger Widows of Sundarbans: Their Struggle, Cyclone and Pandemic. In Women in Bengal</w:t>
      </w:r>
      <w:r>
        <w:t xml:space="preserve"> In Reality and Through Representations Edited </w:t>
      </w:r>
      <w:proofErr w:type="gramStart"/>
      <w:r>
        <w:t>By</w:t>
      </w:r>
      <w:proofErr w:type="gramEnd"/>
      <w:r>
        <w:t xml:space="preserve"> Sudarshana Sen, ISBN: </w:t>
      </w:r>
      <w:r w:rsidRPr="00981B5E">
        <w:t>9781003473930</w:t>
      </w:r>
      <w:r>
        <w:t xml:space="preserve">, </w:t>
      </w:r>
      <w:r w:rsidRPr="0023295B">
        <w:t xml:space="preserve">(pp. 76-86). Routledge. </w:t>
      </w:r>
      <w:r>
        <w:t xml:space="preserve">Book: </w:t>
      </w:r>
      <w:hyperlink r:id="rId20" w:history="1">
        <w:r w:rsidRPr="009E03F6">
          <w:rPr>
            <w:rStyle w:val="Hyperlink"/>
          </w:rPr>
          <w:t>https://doi.org/10.4324/9781003473930</w:t>
        </w:r>
      </w:hyperlink>
      <w:r>
        <w:t xml:space="preserve"> </w:t>
      </w:r>
    </w:p>
    <w:p w14:paraId="68221745" w14:textId="77777777" w:rsidR="00ED77FE" w:rsidRPr="0023295B" w:rsidRDefault="00ED77FE" w:rsidP="004701E7">
      <w:pPr>
        <w:pStyle w:val="NormalWeb"/>
      </w:pPr>
      <w:r w:rsidRPr="00ED77FE">
        <w:t>Sahana, M., Rehman, S., Paul, A. K., &amp; Sajjad, H. (2021). Assessing socio-economic vulnerability to climate change-induced disasters: evidence from Sundarban Biosphere Reserve, India. Geology, Ecology, and Landscapes, 5(1), 40-52.</w:t>
      </w:r>
      <w:r>
        <w:t xml:space="preserve"> </w:t>
      </w:r>
      <w:hyperlink r:id="rId21" w:history="1">
        <w:r w:rsidRPr="00267C8D">
          <w:rPr>
            <w:rStyle w:val="Hyperlink"/>
          </w:rPr>
          <w:t>https://doi.org/10.1080/24749508.2019.1700670</w:t>
        </w:r>
      </w:hyperlink>
      <w:r>
        <w:t xml:space="preserve"> </w:t>
      </w:r>
    </w:p>
    <w:p w14:paraId="7EE38F59" w14:textId="77777777" w:rsidR="00ED77FE" w:rsidRDefault="00ED77FE" w:rsidP="004701E7">
      <w:pPr>
        <w:pStyle w:val="NormalWeb"/>
      </w:pPr>
      <w:r w:rsidRPr="0023295B">
        <w:lastRenderedPageBreak/>
        <w:t>Sultana, N., &amp; Dey, S. (2021). From vulnerability to resilience: A study of the livelihood struggles of tiger widows in Bangladesh. Asian Journal of Women's Studies, 27(1), 2-21.</w:t>
      </w:r>
      <w:r>
        <w:t xml:space="preserve"> </w:t>
      </w:r>
      <w:hyperlink r:id="rId22" w:history="1">
        <w:r w:rsidRPr="00885A3B">
          <w:rPr>
            <w:rStyle w:val="Hyperlink"/>
          </w:rPr>
          <w:t>https://doi.org/10.1080/12259276.2021.1875674</w:t>
        </w:r>
      </w:hyperlink>
      <w:r>
        <w:t xml:space="preserve"> </w:t>
      </w:r>
      <w:r w:rsidRPr="0023295B">
        <w:t xml:space="preserve"> </w:t>
      </w:r>
    </w:p>
    <w:p w14:paraId="7AFF4F00" w14:textId="77777777" w:rsidR="00ED77FE" w:rsidRDefault="00ED77FE" w:rsidP="004701E7">
      <w:pPr>
        <w:pStyle w:val="NormalWeb"/>
      </w:pPr>
      <w:r w:rsidRPr="00F82BCA">
        <w:t>Zaman, A. (2019). Assessment of Mental Health condition of Tiger Widows. Asian University for Women.</w:t>
      </w:r>
      <w:r>
        <w:t xml:space="preserve"> </w:t>
      </w:r>
      <w:hyperlink r:id="rId23" w:history="1">
        <w:r w:rsidRPr="003B050F">
          <w:rPr>
            <w:rStyle w:val="Hyperlink"/>
          </w:rPr>
          <w:t>http://repository.auw.edu.bd:8080/handle/123456789/136</w:t>
        </w:r>
      </w:hyperlink>
      <w:r>
        <w:t xml:space="preserve"> </w:t>
      </w:r>
    </w:p>
    <w:sectPr w:rsidR="00ED77FE">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7AC30" w14:textId="77777777" w:rsidR="00B34C4D" w:rsidRDefault="00B34C4D" w:rsidP="00745CCE">
      <w:pPr>
        <w:spacing w:after="0" w:line="240" w:lineRule="auto"/>
      </w:pPr>
      <w:r>
        <w:separator/>
      </w:r>
    </w:p>
  </w:endnote>
  <w:endnote w:type="continuationSeparator" w:id="0">
    <w:p w14:paraId="76572954" w14:textId="77777777" w:rsidR="00B34C4D" w:rsidRDefault="00B34C4D" w:rsidP="0074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80DE" w14:textId="77777777" w:rsidR="00745CCE" w:rsidRDefault="00745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3F519" w14:textId="77777777" w:rsidR="00745CCE" w:rsidRDefault="00745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BE56" w14:textId="77777777" w:rsidR="00745CCE" w:rsidRDefault="00745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E18A6" w14:textId="77777777" w:rsidR="00B34C4D" w:rsidRDefault="00B34C4D" w:rsidP="00745CCE">
      <w:pPr>
        <w:spacing w:after="0" w:line="240" w:lineRule="auto"/>
      </w:pPr>
      <w:r>
        <w:separator/>
      </w:r>
    </w:p>
  </w:footnote>
  <w:footnote w:type="continuationSeparator" w:id="0">
    <w:p w14:paraId="0F6B9575" w14:textId="77777777" w:rsidR="00B34C4D" w:rsidRDefault="00B34C4D" w:rsidP="00745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5B3DD" w14:textId="74809CA1" w:rsidR="00745CCE" w:rsidRDefault="00745CCE">
    <w:pPr>
      <w:pStyle w:val="Header"/>
    </w:pPr>
    <w:r>
      <w:rPr>
        <w:noProof/>
      </w:rPr>
      <w:pict w14:anchorId="61B84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CD2D" w14:textId="1CD3C94A" w:rsidR="00745CCE" w:rsidRDefault="00745CCE">
    <w:pPr>
      <w:pStyle w:val="Header"/>
    </w:pPr>
    <w:r>
      <w:rPr>
        <w:noProof/>
      </w:rPr>
      <w:pict w14:anchorId="79611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596B6" w14:textId="4E0B858F" w:rsidR="00745CCE" w:rsidRDefault="00745CCE">
    <w:pPr>
      <w:pStyle w:val="Header"/>
    </w:pPr>
    <w:r>
      <w:rPr>
        <w:noProof/>
      </w:rPr>
      <w:pict w14:anchorId="2190E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E2"/>
    <w:rsid w:val="000C36FF"/>
    <w:rsid w:val="000F5B65"/>
    <w:rsid w:val="0015635F"/>
    <w:rsid w:val="00226629"/>
    <w:rsid w:val="0023295B"/>
    <w:rsid w:val="00257EE9"/>
    <w:rsid w:val="002C1E78"/>
    <w:rsid w:val="002F236D"/>
    <w:rsid w:val="003814DE"/>
    <w:rsid w:val="003A104D"/>
    <w:rsid w:val="004701E7"/>
    <w:rsid w:val="00514534"/>
    <w:rsid w:val="005E3149"/>
    <w:rsid w:val="006348BF"/>
    <w:rsid w:val="007128DC"/>
    <w:rsid w:val="00745101"/>
    <w:rsid w:val="00745CCE"/>
    <w:rsid w:val="008953E2"/>
    <w:rsid w:val="008C2C24"/>
    <w:rsid w:val="00981B5E"/>
    <w:rsid w:val="009E14FF"/>
    <w:rsid w:val="009F5BD3"/>
    <w:rsid w:val="00A5646F"/>
    <w:rsid w:val="00B024FE"/>
    <w:rsid w:val="00B34C4D"/>
    <w:rsid w:val="00CF3D63"/>
    <w:rsid w:val="00D32AB5"/>
    <w:rsid w:val="00D52439"/>
    <w:rsid w:val="00D75C9D"/>
    <w:rsid w:val="00DA2A4E"/>
    <w:rsid w:val="00E00239"/>
    <w:rsid w:val="00ED77FE"/>
    <w:rsid w:val="00EF3E6C"/>
    <w:rsid w:val="00F82BCA"/>
    <w:rsid w:val="00FB64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F9EB70"/>
  <w15:chartTrackingRefBased/>
  <w15:docId w15:val="{71900473-CD84-4F9B-BD41-6415C39A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3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53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53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53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53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5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3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53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53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53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53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5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3E2"/>
    <w:rPr>
      <w:rFonts w:eastAsiaTheme="majorEastAsia" w:cstheme="majorBidi"/>
      <w:color w:val="272727" w:themeColor="text1" w:themeTint="D8"/>
    </w:rPr>
  </w:style>
  <w:style w:type="paragraph" w:styleId="Title">
    <w:name w:val="Title"/>
    <w:basedOn w:val="Normal"/>
    <w:next w:val="Normal"/>
    <w:link w:val="TitleChar"/>
    <w:uiPriority w:val="10"/>
    <w:qFormat/>
    <w:rsid w:val="00895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3E2"/>
    <w:pPr>
      <w:spacing w:before="160"/>
      <w:jc w:val="center"/>
    </w:pPr>
    <w:rPr>
      <w:i/>
      <w:iCs/>
      <w:color w:val="404040" w:themeColor="text1" w:themeTint="BF"/>
    </w:rPr>
  </w:style>
  <w:style w:type="character" w:customStyle="1" w:styleId="QuoteChar">
    <w:name w:val="Quote Char"/>
    <w:basedOn w:val="DefaultParagraphFont"/>
    <w:link w:val="Quote"/>
    <w:uiPriority w:val="29"/>
    <w:rsid w:val="008953E2"/>
    <w:rPr>
      <w:i/>
      <w:iCs/>
      <w:color w:val="404040" w:themeColor="text1" w:themeTint="BF"/>
    </w:rPr>
  </w:style>
  <w:style w:type="paragraph" w:styleId="ListParagraph">
    <w:name w:val="List Paragraph"/>
    <w:basedOn w:val="Normal"/>
    <w:uiPriority w:val="34"/>
    <w:qFormat/>
    <w:rsid w:val="008953E2"/>
    <w:pPr>
      <w:ind w:left="720"/>
      <w:contextualSpacing/>
    </w:pPr>
  </w:style>
  <w:style w:type="character" w:styleId="IntenseEmphasis">
    <w:name w:val="Intense Emphasis"/>
    <w:basedOn w:val="DefaultParagraphFont"/>
    <w:uiPriority w:val="21"/>
    <w:qFormat/>
    <w:rsid w:val="008953E2"/>
    <w:rPr>
      <w:i/>
      <w:iCs/>
      <w:color w:val="2F5496" w:themeColor="accent1" w:themeShade="BF"/>
    </w:rPr>
  </w:style>
  <w:style w:type="paragraph" w:styleId="IntenseQuote">
    <w:name w:val="Intense Quote"/>
    <w:basedOn w:val="Normal"/>
    <w:next w:val="Normal"/>
    <w:link w:val="IntenseQuoteChar"/>
    <w:uiPriority w:val="30"/>
    <w:qFormat/>
    <w:rsid w:val="00895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53E2"/>
    <w:rPr>
      <w:i/>
      <w:iCs/>
      <w:color w:val="2F5496" w:themeColor="accent1" w:themeShade="BF"/>
    </w:rPr>
  </w:style>
  <w:style w:type="character" w:styleId="IntenseReference">
    <w:name w:val="Intense Reference"/>
    <w:basedOn w:val="DefaultParagraphFont"/>
    <w:uiPriority w:val="32"/>
    <w:qFormat/>
    <w:rsid w:val="008953E2"/>
    <w:rPr>
      <w:b/>
      <w:bCs/>
      <w:smallCaps/>
      <w:color w:val="2F5496" w:themeColor="accent1" w:themeShade="BF"/>
      <w:spacing w:val="5"/>
    </w:rPr>
  </w:style>
  <w:style w:type="paragraph" w:styleId="NormalWeb">
    <w:name w:val="Normal (Web)"/>
    <w:basedOn w:val="Normal"/>
    <w:uiPriority w:val="99"/>
    <w:unhideWhenUsed/>
    <w:rsid w:val="004701E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4701E7"/>
    <w:rPr>
      <w:i/>
      <w:iCs/>
    </w:rPr>
  </w:style>
  <w:style w:type="character" w:styleId="Hyperlink">
    <w:name w:val="Hyperlink"/>
    <w:basedOn w:val="DefaultParagraphFont"/>
    <w:uiPriority w:val="99"/>
    <w:unhideWhenUsed/>
    <w:rsid w:val="006348BF"/>
    <w:rPr>
      <w:color w:val="0563C1" w:themeColor="hyperlink"/>
      <w:u w:val="single"/>
    </w:rPr>
  </w:style>
  <w:style w:type="character" w:styleId="UnresolvedMention">
    <w:name w:val="Unresolved Mention"/>
    <w:basedOn w:val="DefaultParagraphFont"/>
    <w:uiPriority w:val="99"/>
    <w:semiHidden/>
    <w:unhideWhenUsed/>
    <w:rsid w:val="006348BF"/>
    <w:rPr>
      <w:color w:val="605E5C"/>
      <w:shd w:val="clear" w:color="auto" w:fill="E1DFDD"/>
    </w:rPr>
  </w:style>
  <w:style w:type="character" w:styleId="FollowedHyperlink">
    <w:name w:val="FollowedHyperlink"/>
    <w:basedOn w:val="DefaultParagraphFont"/>
    <w:uiPriority w:val="99"/>
    <w:semiHidden/>
    <w:unhideWhenUsed/>
    <w:rsid w:val="00745101"/>
    <w:rPr>
      <w:color w:val="954F72" w:themeColor="followedHyperlink"/>
      <w:u w:val="single"/>
    </w:rPr>
  </w:style>
  <w:style w:type="paragraph" w:styleId="Header">
    <w:name w:val="header"/>
    <w:basedOn w:val="Normal"/>
    <w:link w:val="HeaderChar"/>
    <w:uiPriority w:val="99"/>
    <w:unhideWhenUsed/>
    <w:rsid w:val="00745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CCE"/>
  </w:style>
  <w:style w:type="paragraph" w:styleId="Footer">
    <w:name w:val="footer"/>
    <w:basedOn w:val="Normal"/>
    <w:link w:val="FooterChar"/>
    <w:uiPriority w:val="99"/>
    <w:unhideWhenUsed/>
    <w:rsid w:val="00745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85400">
      <w:bodyDiv w:val="1"/>
      <w:marLeft w:val="0"/>
      <w:marRight w:val="0"/>
      <w:marTop w:val="0"/>
      <w:marBottom w:val="0"/>
      <w:divBdr>
        <w:top w:val="none" w:sz="0" w:space="0" w:color="auto"/>
        <w:left w:val="none" w:sz="0" w:space="0" w:color="auto"/>
        <w:bottom w:val="none" w:sz="0" w:space="0" w:color="auto"/>
        <w:right w:val="none" w:sz="0" w:space="0" w:color="auto"/>
      </w:divBdr>
    </w:div>
    <w:div w:id="274137506">
      <w:bodyDiv w:val="1"/>
      <w:marLeft w:val="0"/>
      <w:marRight w:val="0"/>
      <w:marTop w:val="0"/>
      <w:marBottom w:val="0"/>
      <w:divBdr>
        <w:top w:val="none" w:sz="0" w:space="0" w:color="auto"/>
        <w:left w:val="none" w:sz="0" w:space="0" w:color="auto"/>
        <w:bottom w:val="none" w:sz="0" w:space="0" w:color="auto"/>
        <w:right w:val="none" w:sz="0" w:space="0" w:color="auto"/>
      </w:divBdr>
    </w:div>
    <w:div w:id="306395116">
      <w:bodyDiv w:val="1"/>
      <w:marLeft w:val="0"/>
      <w:marRight w:val="0"/>
      <w:marTop w:val="0"/>
      <w:marBottom w:val="0"/>
      <w:divBdr>
        <w:top w:val="none" w:sz="0" w:space="0" w:color="auto"/>
        <w:left w:val="none" w:sz="0" w:space="0" w:color="auto"/>
        <w:bottom w:val="none" w:sz="0" w:space="0" w:color="auto"/>
        <w:right w:val="none" w:sz="0" w:space="0" w:color="auto"/>
      </w:divBdr>
      <w:divsChild>
        <w:div w:id="2060350279">
          <w:marLeft w:val="0"/>
          <w:marRight w:val="0"/>
          <w:marTop w:val="0"/>
          <w:marBottom w:val="0"/>
          <w:divBdr>
            <w:top w:val="none" w:sz="0" w:space="0" w:color="auto"/>
            <w:left w:val="none" w:sz="0" w:space="0" w:color="auto"/>
            <w:bottom w:val="none" w:sz="0" w:space="0" w:color="auto"/>
            <w:right w:val="none" w:sz="0" w:space="0" w:color="auto"/>
          </w:divBdr>
          <w:divsChild>
            <w:div w:id="1360619470">
              <w:marLeft w:val="0"/>
              <w:marRight w:val="0"/>
              <w:marTop w:val="0"/>
              <w:marBottom w:val="0"/>
              <w:divBdr>
                <w:top w:val="none" w:sz="0" w:space="0" w:color="auto"/>
                <w:left w:val="none" w:sz="0" w:space="0" w:color="auto"/>
                <w:bottom w:val="none" w:sz="0" w:space="0" w:color="auto"/>
                <w:right w:val="none" w:sz="0" w:space="0" w:color="auto"/>
              </w:divBdr>
            </w:div>
          </w:divsChild>
        </w:div>
        <w:div w:id="1783189590">
          <w:marLeft w:val="0"/>
          <w:marRight w:val="0"/>
          <w:marTop w:val="0"/>
          <w:marBottom w:val="0"/>
          <w:divBdr>
            <w:top w:val="none" w:sz="0" w:space="0" w:color="auto"/>
            <w:left w:val="none" w:sz="0" w:space="0" w:color="auto"/>
            <w:bottom w:val="none" w:sz="0" w:space="0" w:color="auto"/>
            <w:right w:val="none" w:sz="0" w:space="0" w:color="auto"/>
          </w:divBdr>
          <w:divsChild>
            <w:div w:id="1738092757">
              <w:marLeft w:val="0"/>
              <w:marRight w:val="0"/>
              <w:marTop w:val="0"/>
              <w:marBottom w:val="0"/>
              <w:divBdr>
                <w:top w:val="none" w:sz="0" w:space="0" w:color="auto"/>
                <w:left w:val="none" w:sz="0" w:space="0" w:color="auto"/>
                <w:bottom w:val="none" w:sz="0" w:space="0" w:color="auto"/>
                <w:right w:val="none" w:sz="0" w:space="0" w:color="auto"/>
              </w:divBdr>
              <w:divsChild>
                <w:div w:id="1179220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96137749">
      <w:bodyDiv w:val="1"/>
      <w:marLeft w:val="0"/>
      <w:marRight w:val="0"/>
      <w:marTop w:val="0"/>
      <w:marBottom w:val="0"/>
      <w:divBdr>
        <w:top w:val="none" w:sz="0" w:space="0" w:color="auto"/>
        <w:left w:val="none" w:sz="0" w:space="0" w:color="auto"/>
        <w:bottom w:val="none" w:sz="0" w:space="0" w:color="auto"/>
        <w:right w:val="none" w:sz="0" w:space="0" w:color="auto"/>
      </w:divBdr>
    </w:div>
    <w:div w:id="603996743">
      <w:bodyDiv w:val="1"/>
      <w:marLeft w:val="0"/>
      <w:marRight w:val="0"/>
      <w:marTop w:val="0"/>
      <w:marBottom w:val="0"/>
      <w:divBdr>
        <w:top w:val="none" w:sz="0" w:space="0" w:color="auto"/>
        <w:left w:val="none" w:sz="0" w:space="0" w:color="auto"/>
        <w:bottom w:val="none" w:sz="0" w:space="0" w:color="auto"/>
        <w:right w:val="none" w:sz="0" w:space="0" w:color="auto"/>
      </w:divBdr>
    </w:div>
    <w:div w:id="663702710">
      <w:bodyDiv w:val="1"/>
      <w:marLeft w:val="0"/>
      <w:marRight w:val="0"/>
      <w:marTop w:val="0"/>
      <w:marBottom w:val="0"/>
      <w:divBdr>
        <w:top w:val="none" w:sz="0" w:space="0" w:color="auto"/>
        <w:left w:val="none" w:sz="0" w:space="0" w:color="auto"/>
        <w:bottom w:val="none" w:sz="0" w:space="0" w:color="auto"/>
        <w:right w:val="none" w:sz="0" w:space="0" w:color="auto"/>
      </w:divBdr>
    </w:div>
    <w:div w:id="867327618">
      <w:bodyDiv w:val="1"/>
      <w:marLeft w:val="0"/>
      <w:marRight w:val="0"/>
      <w:marTop w:val="0"/>
      <w:marBottom w:val="0"/>
      <w:divBdr>
        <w:top w:val="none" w:sz="0" w:space="0" w:color="auto"/>
        <w:left w:val="none" w:sz="0" w:space="0" w:color="auto"/>
        <w:bottom w:val="none" w:sz="0" w:space="0" w:color="auto"/>
        <w:right w:val="none" w:sz="0" w:space="0" w:color="auto"/>
      </w:divBdr>
    </w:div>
    <w:div w:id="1199245330">
      <w:bodyDiv w:val="1"/>
      <w:marLeft w:val="0"/>
      <w:marRight w:val="0"/>
      <w:marTop w:val="0"/>
      <w:marBottom w:val="0"/>
      <w:divBdr>
        <w:top w:val="none" w:sz="0" w:space="0" w:color="auto"/>
        <w:left w:val="none" w:sz="0" w:space="0" w:color="auto"/>
        <w:bottom w:val="none" w:sz="0" w:space="0" w:color="auto"/>
        <w:right w:val="none" w:sz="0" w:space="0" w:color="auto"/>
      </w:divBdr>
      <w:divsChild>
        <w:div w:id="2069180702">
          <w:marLeft w:val="0"/>
          <w:marRight w:val="0"/>
          <w:marTop w:val="0"/>
          <w:marBottom w:val="0"/>
          <w:divBdr>
            <w:top w:val="none" w:sz="0" w:space="0" w:color="auto"/>
            <w:left w:val="none" w:sz="0" w:space="0" w:color="auto"/>
            <w:bottom w:val="none" w:sz="0" w:space="0" w:color="auto"/>
            <w:right w:val="none" w:sz="0" w:space="0" w:color="auto"/>
          </w:divBdr>
          <w:divsChild>
            <w:div w:id="715204647">
              <w:marLeft w:val="0"/>
              <w:marRight w:val="0"/>
              <w:marTop w:val="0"/>
              <w:marBottom w:val="0"/>
              <w:divBdr>
                <w:top w:val="none" w:sz="0" w:space="0" w:color="auto"/>
                <w:left w:val="none" w:sz="0" w:space="0" w:color="auto"/>
                <w:bottom w:val="none" w:sz="0" w:space="0" w:color="auto"/>
                <w:right w:val="none" w:sz="0" w:space="0" w:color="auto"/>
              </w:divBdr>
              <w:divsChild>
                <w:div w:id="1230577233">
                  <w:marLeft w:val="0"/>
                  <w:marRight w:val="0"/>
                  <w:marTop w:val="0"/>
                  <w:marBottom w:val="0"/>
                  <w:divBdr>
                    <w:top w:val="none" w:sz="0" w:space="0" w:color="auto"/>
                    <w:left w:val="none" w:sz="0" w:space="0" w:color="auto"/>
                    <w:bottom w:val="none" w:sz="0" w:space="0" w:color="auto"/>
                    <w:right w:val="none" w:sz="0" w:space="0" w:color="auto"/>
                  </w:divBdr>
                  <w:divsChild>
                    <w:div w:id="9665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59605">
          <w:marLeft w:val="0"/>
          <w:marRight w:val="0"/>
          <w:marTop w:val="0"/>
          <w:marBottom w:val="0"/>
          <w:divBdr>
            <w:top w:val="none" w:sz="0" w:space="0" w:color="auto"/>
            <w:left w:val="none" w:sz="0" w:space="0" w:color="auto"/>
            <w:bottom w:val="none" w:sz="0" w:space="0" w:color="auto"/>
            <w:right w:val="none" w:sz="0" w:space="0" w:color="auto"/>
          </w:divBdr>
          <w:divsChild>
            <w:div w:id="887031336">
              <w:marLeft w:val="0"/>
              <w:marRight w:val="0"/>
              <w:marTop w:val="0"/>
              <w:marBottom w:val="0"/>
              <w:divBdr>
                <w:top w:val="none" w:sz="0" w:space="0" w:color="auto"/>
                <w:left w:val="none" w:sz="0" w:space="0" w:color="auto"/>
                <w:bottom w:val="none" w:sz="0" w:space="0" w:color="auto"/>
                <w:right w:val="none" w:sz="0" w:space="0" w:color="auto"/>
              </w:divBdr>
              <w:divsChild>
                <w:div w:id="950011142">
                  <w:marLeft w:val="0"/>
                  <w:marRight w:val="0"/>
                  <w:marTop w:val="0"/>
                  <w:marBottom w:val="0"/>
                  <w:divBdr>
                    <w:top w:val="none" w:sz="0" w:space="0" w:color="auto"/>
                    <w:left w:val="none" w:sz="0" w:space="0" w:color="auto"/>
                    <w:bottom w:val="none" w:sz="0" w:space="0" w:color="auto"/>
                    <w:right w:val="none" w:sz="0" w:space="0" w:color="auto"/>
                  </w:divBdr>
                  <w:divsChild>
                    <w:div w:id="18307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173280">
      <w:bodyDiv w:val="1"/>
      <w:marLeft w:val="0"/>
      <w:marRight w:val="0"/>
      <w:marTop w:val="0"/>
      <w:marBottom w:val="0"/>
      <w:divBdr>
        <w:top w:val="none" w:sz="0" w:space="0" w:color="auto"/>
        <w:left w:val="none" w:sz="0" w:space="0" w:color="auto"/>
        <w:bottom w:val="none" w:sz="0" w:space="0" w:color="auto"/>
        <w:right w:val="none" w:sz="0" w:space="0" w:color="auto"/>
      </w:divBdr>
    </w:div>
    <w:div w:id="1330450283">
      <w:bodyDiv w:val="1"/>
      <w:marLeft w:val="0"/>
      <w:marRight w:val="0"/>
      <w:marTop w:val="0"/>
      <w:marBottom w:val="0"/>
      <w:divBdr>
        <w:top w:val="none" w:sz="0" w:space="0" w:color="auto"/>
        <w:left w:val="none" w:sz="0" w:space="0" w:color="auto"/>
        <w:bottom w:val="none" w:sz="0" w:space="0" w:color="auto"/>
        <w:right w:val="none" w:sz="0" w:space="0" w:color="auto"/>
      </w:divBdr>
    </w:div>
    <w:div w:id="1343507590">
      <w:bodyDiv w:val="1"/>
      <w:marLeft w:val="0"/>
      <w:marRight w:val="0"/>
      <w:marTop w:val="0"/>
      <w:marBottom w:val="0"/>
      <w:divBdr>
        <w:top w:val="none" w:sz="0" w:space="0" w:color="auto"/>
        <w:left w:val="none" w:sz="0" w:space="0" w:color="auto"/>
        <w:bottom w:val="none" w:sz="0" w:space="0" w:color="auto"/>
        <w:right w:val="none" w:sz="0" w:space="0" w:color="auto"/>
      </w:divBdr>
    </w:div>
    <w:div w:id="1457871026">
      <w:bodyDiv w:val="1"/>
      <w:marLeft w:val="0"/>
      <w:marRight w:val="0"/>
      <w:marTop w:val="0"/>
      <w:marBottom w:val="0"/>
      <w:divBdr>
        <w:top w:val="none" w:sz="0" w:space="0" w:color="auto"/>
        <w:left w:val="none" w:sz="0" w:space="0" w:color="auto"/>
        <w:bottom w:val="none" w:sz="0" w:space="0" w:color="auto"/>
        <w:right w:val="none" w:sz="0" w:space="0" w:color="auto"/>
      </w:divBdr>
    </w:div>
    <w:div w:id="1496646580">
      <w:bodyDiv w:val="1"/>
      <w:marLeft w:val="0"/>
      <w:marRight w:val="0"/>
      <w:marTop w:val="0"/>
      <w:marBottom w:val="0"/>
      <w:divBdr>
        <w:top w:val="none" w:sz="0" w:space="0" w:color="auto"/>
        <w:left w:val="none" w:sz="0" w:space="0" w:color="auto"/>
        <w:bottom w:val="none" w:sz="0" w:space="0" w:color="auto"/>
        <w:right w:val="none" w:sz="0" w:space="0" w:color="auto"/>
      </w:divBdr>
      <w:divsChild>
        <w:div w:id="1407069277">
          <w:marLeft w:val="0"/>
          <w:marRight w:val="0"/>
          <w:marTop w:val="0"/>
          <w:marBottom w:val="0"/>
          <w:divBdr>
            <w:top w:val="none" w:sz="0" w:space="0" w:color="auto"/>
            <w:left w:val="none" w:sz="0" w:space="0" w:color="auto"/>
            <w:bottom w:val="none" w:sz="0" w:space="0" w:color="auto"/>
            <w:right w:val="none" w:sz="0" w:space="0" w:color="auto"/>
          </w:divBdr>
          <w:divsChild>
            <w:div w:id="1699812429">
              <w:marLeft w:val="0"/>
              <w:marRight w:val="0"/>
              <w:marTop w:val="0"/>
              <w:marBottom w:val="0"/>
              <w:divBdr>
                <w:top w:val="none" w:sz="0" w:space="0" w:color="auto"/>
                <w:left w:val="none" w:sz="0" w:space="0" w:color="auto"/>
                <w:bottom w:val="none" w:sz="0" w:space="0" w:color="auto"/>
                <w:right w:val="none" w:sz="0" w:space="0" w:color="auto"/>
              </w:divBdr>
              <w:divsChild>
                <w:div w:id="1408771104">
                  <w:marLeft w:val="0"/>
                  <w:marRight w:val="0"/>
                  <w:marTop w:val="0"/>
                  <w:marBottom w:val="0"/>
                  <w:divBdr>
                    <w:top w:val="none" w:sz="0" w:space="0" w:color="auto"/>
                    <w:left w:val="none" w:sz="0" w:space="0" w:color="auto"/>
                    <w:bottom w:val="none" w:sz="0" w:space="0" w:color="auto"/>
                    <w:right w:val="none" w:sz="0" w:space="0" w:color="auto"/>
                  </w:divBdr>
                  <w:divsChild>
                    <w:div w:id="4019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36857">
          <w:marLeft w:val="0"/>
          <w:marRight w:val="0"/>
          <w:marTop w:val="0"/>
          <w:marBottom w:val="0"/>
          <w:divBdr>
            <w:top w:val="none" w:sz="0" w:space="0" w:color="auto"/>
            <w:left w:val="none" w:sz="0" w:space="0" w:color="auto"/>
            <w:bottom w:val="none" w:sz="0" w:space="0" w:color="auto"/>
            <w:right w:val="none" w:sz="0" w:space="0" w:color="auto"/>
          </w:divBdr>
          <w:divsChild>
            <w:div w:id="868684425">
              <w:marLeft w:val="0"/>
              <w:marRight w:val="0"/>
              <w:marTop w:val="0"/>
              <w:marBottom w:val="0"/>
              <w:divBdr>
                <w:top w:val="none" w:sz="0" w:space="0" w:color="auto"/>
                <w:left w:val="none" w:sz="0" w:space="0" w:color="auto"/>
                <w:bottom w:val="none" w:sz="0" w:space="0" w:color="auto"/>
                <w:right w:val="none" w:sz="0" w:space="0" w:color="auto"/>
              </w:divBdr>
              <w:divsChild>
                <w:div w:id="1210801386">
                  <w:marLeft w:val="0"/>
                  <w:marRight w:val="0"/>
                  <w:marTop w:val="0"/>
                  <w:marBottom w:val="0"/>
                  <w:divBdr>
                    <w:top w:val="none" w:sz="0" w:space="0" w:color="auto"/>
                    <w:left w:val="none" w:sz="0" w:space="0" w:color="auto"/>
                    <w:bottom w:val="none" w:sz="0" w:space="0" w:color="auto"/>
                    <w:right w:val="none" w:sz="0" w:space="0" w:color="auto"/>
                  </w:divBdr>
                  <w:divsChild>
                    <w:div w:id="18817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86583">
      <w:bodyDiv w:val="1"/>
      <w:marLeft w:val="0"/>
      <w:marRight w:val="0"/>
      <w:marTop w:val="0"/>
      <w:marBottom w:val="0"/>
      <w:divBdr>
        <w:top w:val="none" w:sz="0" w:space="0" w:color="auto"/>
        <w:left w:val="none" w:sz="0" w:space="0" w:color="auto"/>
        <w:bottom w:val="none" w:sz="0" w:space="0" w:color="auto"/>
        <w:right w:val="none" w:sz="0" w:space="0" w:color="auto"/>
      </w:divBdr>
    </w:div>
    <w:div w:id="203387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sma.2021.102135" TargetMode="External"/><Relationship Id="rId13" Type="http://schemas.openxmlformats.org/officeDocument/2006/relationships/hyperlink" Target="https://doi.org/10.1073/pnas.1921338118" TargetMode="External"/><Relationship Id="rId18" Type="http://schemas.openxmlformats.org/officeDocument/2006/relationships/hyperlink" Target="https://doi.org/10.1016/j.nhres.2022.04.002"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doi.org/10.1080/24749508.2019.1700670" TargetMode="External"/><Relationship Id="rId7" Type="http://schemas.openxmlformats.org/officeDocument/2006/relationships/hyperlink" Target="https://rnlkwc.ac.in/pdf/Anudhyan-23.pdf" TargetMode="External"/><Relationship Id="rId12" Type="http://schemas.openxmlformats.org/officeDocument/2006/relationships/hyperlink" Target="https://doi.org/10.3390/d7020149" TargetMode="External"/><Relationship Id="rId17" Type="http://schemas.openxmlformats.org/officeDocument/2006/relationships/hyperlink" Target="https://doi.org/10.1016/j.crsust.2021.100077"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doi.org/10.1016/j.ijgeop.2022.07.004" TargetMode="External"/><Relationship Id="rId20" Type="http://schemas.openxmlformats.org/officeDocument/2006/relationships/hyperlink" Target="https://doi.org/10.4324/9781003473930"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1007/978-4-431-56481-2_9" TargetMode="External"/><Relationship Id="rId11" Type="http://schemas.openxmlformats.org/officeDocument/2006/relationships/hyperlink" Target="https://doi.org/10.1016/j.tfp.2023.100401"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doi.org/10.4324/9780203085516" TargetMode="External"/><Relationship Id="rId23" Type="http://schemas.openxmlformats.org/officeDocument/2006/relationships/hyperlink" Target="http://repository.auw.edu.bd:8080/handle/123456789/136" TargetMode="External"/><Relationship Id="rId28" Type="http://schemas.openxmlformats.org/officeDocument/2006/relationships/header" Target="header3.xml"/><Relationship Id="rId10" Type="http://schemas.openxmlformats.org/officeDocument/2006/relationships/hyperlink" Target="https://doi.org/10.4137/EHI.S935" TargetMode="External"/><Relationship Id="rId19" Type="http://schemas.openxmlformats.org/officeDocument/2006/relationships/hyperlink" Target="https://doi.org/10.1016/j.annals.2022.103486"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4103/0019-5545.174355" TargetMode="External"/><Relationship Id="rId14" Type="http://schemas.openxmlformats.org/officeDocument/2006/relationships/hyperlink" Target="https://doi.org/10.1016/j.marpol.2021.104475" TargetMode="External"/><Relationship Id="rId22" Type="http://schemas.openxmlformats.org/officeDocument/2006/relationships/hyperlink" Target="https://doi.org/10.1080/12259276.2021.187567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8</Pages>
  <Words>3141</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Pinaki Mondal</dc:creator>
  <cp:keywords/>
  <dc:description/>
  <cp:lastModifiedBy>SDI 1084</cp:lastModifiedBy>
  <cp:revision>11</cp:revision>
  <dcterms:created xsi:type="dcterms:W3CDTF">2025-01-13T06:01:00Z</dcterms:created>
  <dcterms:modified xsi:type="dcterms:W3CDTF">2025-03-15T12:27:00Z</dcterms:modified>
</cp:coreProperties>
</file>