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82FB6" w14:textId="77777777" w:rsidR="001968A3" w:rsidRDefault="001968A3" w:rsidP="005348BD">
      <w:pPr>
        <w:spacing w:line="360" w:lineRule="auto"/>
        <w:jc w:val="center"/>
        <w:rPr>
          <w:b/>
          <w:bCs/>
          <w:sz w:val="28"/>
        </w:rPr>
      </w:pPr>
      <w:r w:rsidRPr="001968A3">
        <w:rPr>
          <w:b/>
          <w:bCs/>
          <w:sz w:val="28"/>
        </w:rPr>
        <w:t xml:space="preserve">Differential </w:t>
      </w:r>
      <w:proofErr w:type="spellStart"/>
      <w:r w:rsidRPr="001968A3">
        <w:rPr>
          <w:b/>
          <w:bCs/>
          <w:sz w:val="28"/>
        </w:rPr>
        <w:t>Maltosazone</w:t>
      </w:r>
      <w:proofErr w:type="spellEnd"/>
      <w:r w:rsidRPr="001968A3">
        <w:rPr>
          <w:b/>
          <w:bCs/>
          <w:sz w:val="28"/>
        </w:rPr>
        <w:t xml:space="preserve"> Crystal Formation in Selected Packaged Food Products Using the </w:t>
      </w:r>
      <w:proofErr w:type="spellStart"/>
      <w:r w:rsidRPr="001968A3">
        <w:rPr>
          <w:b/>
          <w:bCs/>
          <w:sz w:val="28"/>
        </w:rPr>
        <w:t>Osazone</w:t>
      </w:r>
      <w:proofErr w:type="spellEnd"/>
      <w:r w:rsidRPr="001968A3">
        <w:rPr>
          <w:b/>
          <w:bCs/>
          <w:sz w:val="28"/>
        </w:rPr>
        <w:t xml:space="preserve"> Test</w:t>
      </w:r>
    </w:p>
    <w:p w14:paraId="28AB3162" w14:textId="77777777" w:rsidR="001968A3" w:rsidRDefault="001968A3" w:rsidP="000F756D">
      <w:pPr>
        <w:spacing w:line="360" w:lineRule="auto"/>
        <w:jc w:val="center"/>
        <w:rPr>
          <w:b/>
          <w:bCs/>
        </w:rPr>
      </w:pPr>
    </w:p>
    <w:p w14:paraId="246B70A9" w14:textId="77777777" w:rsidR="000709E2" w:rsidRPr="000F756D" w:rsidRDefault="000709E2" w:rsidP="000F756D">
      <w:pPr>
        <w:spacing w:line="360" w:lineRule="auto"/>
        <w:jc w:val="center"/>
      </w:pPr>
    </w:p>
    <w:p w14:paraId="48CDB8F8" w14:textId="77777777" w:rsidR="00360B09" w:rsidRPr="00360B09" w:rsidRDefault="00360B09" w:rsidP="00360B09">
      <w:pPr>
        <w:pStyle w:val="NormalWeb"/>
        <w:spacing w:line="360" w:lineRule="auto"/>
        <w:jc w:val="both"/>
        <w:rPr>
          <w:b/>
          <w:bCs/>
        </w:rPr>
      </w:pPr>
      <w:r w:rsidRPr="00360B09">
        <w:rPr>
          <w:b/>
          <w:bCs/>
        </w:rPr>
        <w:t>Abstract</w:t>
      </w:r>
    </w:p>
    <w:p w14:paraId="0813482E" w14:textId="64672EF7" w:rsidR="00882D4E" w:rsidRDefault="00882D4E" w:rsidP="00C46E37">
      <w:pPr>
        <w:pStyle w:val="NormalWeb"/>
        <w:spacing w:line="360" w:lineRule="auto"/>
        <w:ind w:firstLine="720"/>
        <w:jc w:val="both"/>
      </w:pPr>
      <w:r w:rsidRPr="00882D4E">
        <w:t xml:space="preserve">This study explored the application of the </w:t>
      </w:r>
      <w:proofErr w:type="spellStart"/>
      <w:r w:rsidRPr="00882D4E">
        <w:t>osazone</w:t>
      </w:r>
      <w:proofErr w:type="spellEnd"/>
      <w:r w:rsidRPr="00882D4E">
        <w:t xml:space="preserve"> test for maltose detection. The </w:t>
      </w:r>
      <w:proofErr w:type="spellStart"/>
      <w:r w:rsidRPr="00882D4E">
        <w:t>osazone</w:t>
      </w:r>
      <w:proofErr w:type="spellEnd"/>
      <w:r w:rsidRPr="00882D4E">
        <w:t xml:space="preserve"> test is a qualitative method used to detect various sugars in food products. When performed with maltose, the </w:t>
      </w:r>
      <w:proofErr w:type="spellStart"/>
      <w:r w:rsidRPr="00882D4E">
        <w:t>osazone</w:t>
      </w:r>
      <w:proofErr w:type="spellEnd"/>
      <w:r w:rsidRPr="00882D4E">
        <w:t xml:space="preserve"> test led to the production of </w:t>
      </w:r>
      <w:proofErr w:type="spellStart"/>
      <w:r w:rsidRPr="00882D4E">
        <w:t>maltosazone</w:t>
      </w:r>
      <w:proofErr w:type="spellEnd"/>
      <w:r w:rsidRPr="00882D4E">
        <w:t xml:space="preserve">. This study investigated the use of the </w:t>
      </w:r>
      <w:proofErr w:type="spellStart"/>
      <w:r w:rsidRPr="00882D4E">
        <w:t>osazone</w:t>
      </w:r>
      <w:proofErr w:type="spellEnd"/>
      <w:r w:rsidRPr="00882D4E">
        <w:t xml:space="preserve"> test for various readily available food products, primarily those found in grocery stores and used in bakery products suspected to contain maltose or </w:t>
      </w:r>
      <w:proofErr w:type="spellStart"/>
      <w:r w:rsidRPr="00882D4E">
        <w:t>maltodextrin</w:t>
      </w:r>
      <w:proofErr w:type="spellEnd"/>
      <w:r w:rsidRPr="00882D4E">
        <w:t xml:space="preserve">. Maltose consumption can exacerbate diet-induced obesity and related health issues, particularly when combined with a high fat diet. Malt is utilized in chocolate-based products as a thickening agent, which correlates with its potential health impacts. Other detection methods used in industries, such as gas chromatography, HPLC, and enzymatic methods, are time-consuming and cost-ineffective. Five packaged food products were used in this study. </w:t>
      </w:r>
      <w:proofErr w:type="spellStart"/>
      <w:r w:rsidRPr="00882D4E">
        <w:t>Maltosazone</w:t>
      </w:r>
      <w:proofErr w:type="spellEnd"/>
      <w:r w:rsidRPr="00882D4E">
        <w:t xml:space="preserve"> crystals were observed in four of them. The presence and morphology of the crystals confirmed the presence of maltose. This study demonstrated the application of the </w:t>
      </w:r>
      <w:proofErr w:type="spellStart"/>
      <w:r w:rsidRPr="00882D4E">
        <w:t>osazone</w:t>
      </w:r>
      <w:proofErr w:type="spellEnd"/>
      <w:r w:rsidRPr="00882D4E">
        <w:t xml:space="preserve"> test for the detection of maltose.</w:t>
      </w:r>
    </w:p>
    <w:p w14:paraId="3A7059E7" w14:textId="77777777" w:rsidR="000F756D" w:rsidRDefault="000F756D" w:rsidP="000F756D">
      <w:pPr>
        <w:pStyle w:val="NormalWeb"/>
      </w:pPr>
      <w:r w:rsidRPr="000F756D">
        <w:rPr>
          <w:b/>
          <w:bCs/>
        </w:rPr>
        <w:t>Keywords</w:t>
      </w:r>
      <w:r>
        <w:t xml:space="preserve">: </w:t>
      </w:r>
      <w:r w:rsidRPr="000F756D">
        <w:t xml:space="preserve"> </w:t>
      </w:r>
      <w:proofErr w:type="spellStart"/>
      <w:r>
        <w:t>Osazone</w:t>
      </w:r>
      <w:proofErr w:type="spellEnd"/>
      <w:r>
        <w:t xml:space="preserve"> test; Maltose detection; </w:t>
      </w:r>
      <w:proofErr w:type="spellStart"/>
      <w:r>
        <w:t>Maltosazone</w:t>
      </w:r>
      <w:proofErr w:type="spellEnd"/>
    </w:p>
    <w:p w14:paraId="0335CBA3" w14:textId="77777777" w:rsidR="000F756D" w:rsidRDefault="000F756D" w:rsidP="00C46E37">
      <w:pPr>
        <w:pStyle w:val="NormalWeb"/>
        <w:spacing w:line="360" w:lineRule="auto"/>
        <w:ind w:firstLine="720"/>
        <w:jc w:val="both"/>
      </w:pPr>
    </w:p>
    <w:p w14:paraId="41D1E217" w14:textId="77777777" w:rsidR="000F756D" w:rsidRDefault="000F756D" w:rsidP="00C46E37">
      <w:pPr>
        <w:pStyle w:val="NormalWeb"/>
        <w:spacing w:line="360" w:lineRule="auto"/>
        <w:ind w:firstLine="720"/>
        <w:jc w:val="both"/>
      </w:pPr>
    </w:p>
    <w:p w14:paraId="2BDB56D7" w14:textId="77777777" w:rsidR="000F756D" w:rsidRDefault="000F756D" w:rsidP="00C46E37">
      <w:pPr>
        <w:pStyle w:val="NormalWeb"/>
        <w:spacing w:line="360" w:lineRule="auto"/>
        <w:ind w:firstLine="720"/>
        <w:jc w:val="both"/>
      </w:pPr>
    </w:p>
    <w:p w14:paraId="189F2F5A" w14:textId="77777777" w:rsidR="00360B09" w:rsidRPr="00360B09" w:rsidRDefault="00360B09" w:rsidP="00360B09"/>
    <w:p w14:paraId="2DE860D8" w14:textId="77777777" w:rsidR="00704A7D" w:rsidRPr="00704A7D" w:rsidRDefault="00704A7D" w:rsidP="00C540DC">
      <w:pPr>
        <w:spacing w:line="360" w:lineRule="auto"/>
        <w:jc w:val="both"/>
        <w:rPr>
          <w:b/>
          <w:bCs/>
        </w:rPr>
      </w:pPr>
      <w:r w:rsidRPr="00704A7D">
        <w:rPr>
          <w:b/>
          <w:bCs/>
        </w:rPr>
        <w:t>Introduction:</w:t>
      </w:r>
    </w:p>
    <w:p w14:paraId="29B30ED7" w14:textId="77777777" w:rsidR="00882D4E" w:rsidRPr="000709E2" w:rsidRDefault="00882D4E" w:rsidP="00882D4E">
      <w:pPr>
        <w:spacing w:line="360" w:lineRule="auto"/>
        <w:ind w:firstLine="360"/>
        <w:jc w:val="both"/>
        <w:rPr>
          <w:color w:val="000000" w:themeColor="text1"/>
        </w:rPr>
      </w:pPr>
      <w:r w:rsidRPr="000709E2">
        <w:rPr>
          <w:color w:val="000000" w:themeColor="text1"/>
        </w:rPr>
        <w:t>Maltose is a disaccharide composed of two glucose units and is commonly found in foods such as raw cereals, vegetables, and chicken</w:t>
      </w:r>
      <w:r>
        <w:rPr>
          <w:color w:val="000000" w:themeColor="text1"/>
        </w:rPr>
        <w:t xml:space="preserve"> [1]</w:t>
      </w:r>
      <w:r w:rsidRPr="000709E2">
        <w:rPr>
          <w:color w:val="000000" w:themeColor="text1"/>
        </w:rPr>
        <w:t>. It is a reducing sugar that can be rapidly hydrolyzed in the human body, releasing it quickly in</w:t>
      </w:r>
      <w:r>
        <w:rPr>
          <w:color w:val="000000"/>
        </w:rPr>
        <w:t xml:space="preserve">to the blood </w:t>
      </w:r>
      <w:r w:rsidRPr="000709E2">
        <w:rPr>
          <w:color w:val="000000" w:themeColor="text1"/>
        </w:rPr>
        <w:t>upon consumption</w:t>
      </w:r>
      <w:r>
        <w:rPr>
          <w:color w:val="000000" w:themeColor="text1"/>
        </w:rPr>
        <w:t xml:space="preserve"> [1]</w:t>
      </w:r>
      <w:r w:rsidRPr="000709E2">
        <w:rPr>
          <w:color w:val="000000" w:themeColor="text1"/>
        </w:rPr>
        <w:t>.</w:t>
      </w:r>
    </w:p>
    <w:p w14:paraId="554D2998" w14:textId="77777777" w:rsidR="00882D4E" w:rsidRPr="000709E2" w:rsidRDefault="00882D4E" w:rsidP="00882D4E">
      <w:pPr>
        <w:spacing w:line="360" w:lineRule="auto"/>
        <w:ind w:firstLine="360"/>
        <w:jc w:val="both"/>
        <w:rPr>
          <w:color w:val="000000" w:themeColor="text1"/>
        </w:rPr>
      </w:pPr>
      <w:r w:rsidRPr="000709E2">
        <w:rPr>
          <w:color w:val="000000" w:themeColor="text1"/>
        </w:rPr>
        <w:lastRenderedPageBreak/>
        <w:t xml:space="preserve">The effects of maltose on health are complex and context dependent. In healthy individuals, maltose can moderate hunger sensations even at lower dosages, suggesting </w:t>
      </w:r>
      <w:r>
        <w:rPr>
          <w:color w:val="000000"/>
        </w:rPr>
        <w:t>that it may play a role in appetite regulation</w:t>
      </w:r>
      <w:r>
        <w:rPr>
          <w:color w:val="000000" w:themeColor="text1"/>
        </w:rPr>
        <w:t xml:space="preserve"> [2]</w:t>
      </w:r>
      <w:r w:rsidRPr="000709E2">
        <w:rPr>
          <w:color w:val="000000" w:themeColor="text1"/>
        </w:rPr>
        <w:t xml:space="preserve">. However, its effect on blood sugar levels is less pronounced </w:t>
      </w:r>
      <w:r>
        <w:rPr>
          <w:color w:val="000000"/>
        </w:rPr>
        <w:t xml:space="preserve">than </w:t>
      </w:r>
      <w:r w:rsidRPr="000709E2">
        <w:rPr>
          <w:color w:val="000000" w:themeColor="text1"/>
        </w:rPr>
        <w:t>that of glucose. In a study involving healthy subjects, intravenous maltose administration did not significantly influence blood sugar concentration</w:t>
      </w:r>
      <w:r>
        <w:rPr>
          <w:color w:val="000000" w:themeColor="text1"/>
        </w:rPr>
        <w:t xml:space="preserve"> [3]</w:t>
      </w:r>
      <w:r w:rsidRPr="000709E2">
        <w:rPr>
          <w:color w:val="000000" w:themeColor="text1"/>
        </w:rPr>
        <w:t>.</w:t>
      </w:r>
    </w:p>
    <w:p w14:paraId="0C417DBF" w14:textId="77777777" w:rsidR="00882D4E" w:rsidRPr="000709E2" w:rsidRDefault="00882D4E" w:rsidP="00882D4E">
      <w:pPr>
        <w:spacing w:line="360" w:lineRule="auto"/>
        <w:ind w:firstLine="360"/>
        <w:jc w:val="both"/>
        <w:rPr>
          <w:color w:val="000000" w:themeColor="text1"/>
        </w:rPr>
      </w:pPr>
      <w:r w:rsidRPr="000709E2">
        <w:rPr>
          <w:color w:val="000000" w:themeColor="text1"/>
        </w:rPr>
        <w:t xml:space="preserve">Maltose metabolism differs between healthy individuals and individuals with certain health conditions. In insulin-dependent diabetic patients, maltose metabolism is reduced, with only 3% of maltose being oxidized and 51% excreted in </w:t>
      </w:r>
      <w:r>
        <w:rPr>
          <w:color w:val="000000"/>
        </w:rPr>
        <w:t xml:space="preserve">the urine within 8 </w:t>
      </w:r>
      <w:r w:rsidRPr="000709E2">
        <w:rPr>
          <w:color w:val="000000" w:themeColor="text1"/>
        </w:rPr>
        <w:t>h</w:t>
      </w:r>
      <w:r>
        <w:rPr>
          <w:color w:val="000000" w:themeColor="text1"/>
        </w:rPr>
        <w:t xml:space="preserve"> [3]</w:t>
      </w:r>
      <w:r w:rsidRPr="000709E2">
        <w:rPr>
          <w:color w:val="000000" w:themeColor="text1"/>
        </w:rPr>
        <w:t xml:space="preserve">. This </w:t>
      </w:r>
      <w:r>
        <w:rPr>
          <w:color w:val="000000"/>
        </w:rPr>
        <w:t>finding suggests that maltose may not be a suitable carbohydrate source for parenteral nutrition in these patients. Children with glucose-6-phosphatase deficiency</w:t>
      </w:r>
      <w:r w:rsidRPr="000709E2">
        <w:rPr>
          <w:color w:val="000000" w:themeColor="text1"/>
        </w:rPr>
        <w:t xml:space="preserve"> and maltose feeding have been shown to </w:t>
      </w:r>
      <w:r>
        <w:rPr>
          <w:color w:val="000000"/>
        </w:rPr>
        <w:t xml:space="preserve">have decreased blood lactate levels, in contrast to lactose and sucrose </w:t>
      </w:r>
      <w:r>
        <w:rPr>
          <w:color w:val="000000" w:themeColor="text1"/>
        </w:rPr>
        <w:t xml:space="preserve">[4]. </w:t>
      </w:r>
      <w:r w:rsidRPr="000709E2">
        <w:rPr>
          <w:color w:val="000000" w:themeColor="text1"/>
        </w:rPr>
        <w:t xml:space="preserve">While maltose does not appear to have significant adverse effects on healthy individuals, its use as a sole substrate for parenteral nutrition is not recommended because of </w:t>
      </w:r>
      <w:r>
        <w:rPr>
          <w:color w:val="000000"/>
        </w:rPr>
        <w:t>the high renal loss and difficulty in achieving constant blood concentrations</w:t>
      </w:r>
      <w:r>
        <w:rPr>
          <w:color w:val="000000" w:themeColor="text1"/>
        </w:rPr>
        <w:t xml:space="preserve"> [5]</w:t>
      </w:r>
      <w:r w:rsidRPr="000709E2">
        <w:rPr>
          <w:color w:val="000000" w:themeColor="text1"/>
        </w:rPr>
        <w:t>.</w:t>
      </w:r>
    </w:p>
    <w:p w14:paraId="6A46FFBD" w14:textId="77777777" w:rsidR="00A77B3E" w:rsidRPr="000709E2" w:rsidRDefault="00A77B3E" w:rsidP="00C540DC">
      <w:pPr>
        <w:spacing w:line="360" w:lineRule="auto"/>
        <w:jc w:val="both"/>
        <w:rPr>
          <w:color w:val="000000" w:themeColor="text1"/>
        </w:rPr>
      </w:pPr>
    </w:p>
    <w:p w14:paraId="40CDF3B1" w14:textId="77777777" w:rsidR="00A77B3E" w:rsidRPr="000709E2" w:rsidRDefault="0063326D" w:rsidP="00C540DC">
      <w:pPr>
        <w:spacing w:line="360" w:lineRule="auto"/>
        <w:jc w:val="both"/>
        <w:rPr>
          <w:b/>
          <w:color w:val="000000" w:themeColor="text1"/>
        </w:rPr>
      </w:pPr>
      <w:r w:rsidRPr="000709E2">
        <w:rPr>
          <w:b/>
          <w:color w:val="000000" w:themeColor="text1"/>
        </w:rPr>
        <w:t>Ready-to-eat food processing companies use maltose in food products for several reasons:</w:t>
      </w:r>
    </w:p>
    <w:p w14:paraId="6795E9B9" w14:textId="77777777" w:rsidR="00882D4E" w:rsidRPr="000709E2" w:rsidRDefault="00882D4E" w:rsidP="00882D4E">
      <w:pPr>
        <w:spacing w:line="360" w:lineRule="auto"/>
        <w:ind w:firstLine="720"/>
        <w:jc w:val="both"/>
        <w:rPr>
          <w:color w:val="000000" w:themeColor="text1"/>
        </w:rPr>
      </w:pPr>
      <w:r w:rsidRPr="000709E2">
        <w:rPr>
          <w:color w:val="000000" w:themeColor="text1"/>
        </w:rPr>
        <w:t xml:space="preserve">Maltose is a valuable ingredient in food processing owing to its unique properties and versatility. Maltose is a reducing sugar that can form an aldehyde group in solution, contributing to flavor development and browning reactions during food processing </w:t>
      </w:r>
      <w:r>
        <w:rPr>
          <w:color w:val="000000" w:themeColor="text1"/>
        </w:rPr>
        <w:t>[1].</w:t>
      </w:r>
    </w:p>
    <w:p w14:paraId="7D345A6F" w14:textId="77777777" w:rsidR="00882D4E" w:rsidRPr="000709E2" w:rsidRDefault="00882D4E" w:rsidP="00882D4E">
      <w:pPr>
        <w:spacing w:line="360" w:lineRule="auto"/>
        <w:jc w:val="both"/>
        <w:rPr>
          <w:color w:val="000000" w:themeColor="text1"/>
        </w:rPr>
      </w:pPr>
    </w:p>
    <w:p w14:paraId="5C7E5AAB" w14:textId="77777777" w:rsidR="00882D4E" w:rsidRPr="000709E2" w:rsidRDefault="00882D4E" w:rsidP="00882D4E">
      <w:pPr>
        <w:spacing w:line="360" w:lineRule="auto"/>
        <w:ind w:firstLine="720"/>
        <w:jc w:val="both"/>
        <w:rPr>
          <w:color w:val="000000" w:themeColor="text1"/>
        </w:rPr>
      </w:pPr>
      <w:r w:rsidRPr="000709E2">
        <w:rPr>
          <w:color w:val="000000" w:themeColor="text1"/>
        </w:rPr>
        <w:t>An interesting aspect of maltose is its rapid biological hydrolysis in humans. When consumed, maltose is quickly broken down into glucose, which appears rapidly in the bloodstream after a meal</w:t>
      </w:r>
      <w:r>
        <w:rPr>
          <w:color w:val="000000" w:themeColor="text1"/>
        </w:rPr>
        <w:t xml:space="preserve"> [1]</w:t>
      </w:r>
      <w:r w:rsidRPr="000709E2">
        <w:rPr>
          <w:color w:val="000000" w:themeColor="text1"/>
        </w:rPr>
        <w:t>. This property makes maltose an attractive ingredient for food processors to provide quick energy sources for their products.</w:t>
      </w:r>
    </w:p>
    <w:p w14:paraId="7669462F" w14:textId="77777777" w:rsidR="00882D4E" w:rsidRPr="000709E2" w:rsidRDefault="00882D4E" w:rsidP="00882D4E">
      <w:pPr>
        <w:spacing w:line="360" w:lineRule="auto"/>
        <w:jc w:val="both"/>
        <w:rPr>
          <w:color w:val="000000" w:themeColor="text1"/>
        </w:rPr>
      </w:pPr>
      <w:r w:rsidRPr="000709E2">
        <w:rPr>
          <w:color w:val="000000" w:themeColor="text1"/>
        </w:rPr>
        <w:t xml:space="preserve">We can infer that its natural occurrence in many food sources, its role in flavor development, and its rapid conversion to glucose in the human body make it a valuable ingredient in ready-to-eat food products. Additionally, the importance </w:t>
      </w:r>
      <w:r>
        <w:rPr>
          <w:color w:val="000000"/>
        </w:rPr>
        <w:t>of maltose in various scientific disciplines, including the food industry, suggests its continued relevance in food</w:t>
      </w:r>
      <w:r w:rsidRPr="000709E2">
        <w:rPr>
          <w:color w:val="000000" w:themeColor="text1"/>
        </w:rPr>
        <w:t xml:space="preserve">-processing applications </w:t>
      </w:r>
      <w:r>
        <w:rPr>
          <w:color w:val="000000" w:themeColor="text1"/>
        </w:rPr>
        <w:t>[6].</w:t>
      </w:r>
    </w:p>
    <w:p w14:paraId="3FB660C6" w14:textId="77777777" w:rsidR="00882D4E" w:rsidRDefault="00882D4E" w:rsidP="00CE5206">
      <w:pPr>
        <w:spacing w:line="360" w:lineRule="auto"/>
        <w:jc w:val="both"/>
        <w:rPr>
          <w:b/>
          <w:bCs/>
          <w:color w:val="000000" w:themeColor="text1"/>
        </w:rPr>
      </w:pPr>
    </w:p>
    <w:p w14:paraId="22374A51" w14:textId="77777777" w:rsidR="00704A7D" w:rsidRPr="000709E2" w:rsidRDefault="00693A98" w:rsidP="00CE5206">
      <w:pPr>
        <w:spacing w:line="360" w:lineRule="auto"/>
        <w:jc w:val="both"/>
        <w:rPr>
          <w:b/>
          <w:bCs/>
          <w:color w:val="000000" w:themeColor="text1"/>
        </w:rPr>
      </w:pPr>
      <w:r w:rsidRPr="000709E2">
        <w:rPr>
          <w:b/>
          <w:bCs/>
          <w:color w:val="000000" w:themeColor="text1"/>
        </w:rPr>
        <w:t>Effects of maltose on</w:t>
      </w:r>
      <w:r w:rsidR="00704A7D" w:rsidRPr="000709E2">
        <w:rPr>
          <w:b/>
          <w:bCs/>
          <w:color w:val="000000" w:themeColor="text1"/>
        </w:rPr>
        <w:t xml:space="preserve"> health: </w:t>
      </w:r>
    </w:p>
    <w:p w14:paraId="4E3A276B" w14:textId="77777777" w:rsidR="00882D4E" w:rsidRPr="000709E2" w:rsidRDefault="00882D4E" w:rsidP="00882D4E">
      <w:pPr>
        <w:spacing w:line="360" w:lineRule="auto"/>
        <w:ind w:firstLine="360"/>
        <w:jc w:val="both"/>
        <w:rPr>
          <w:color w:val="000000" w:themeColor="text1"/>
        </w:rPr>
      </w:pPr>
      <w:r w:rsidRPr="000709E2">
        <w:rPr>
          <w:color w:val="000000" w:themeColor="text1"/>
        </w:rPr>
        <w:lastRenderedPageBreak/>
        <w:t xml:space="preserve">Maltose consumption can exacerbate diet-induced obesity and related health issues, particularly when combined with a high fat diet. A study on male C57BL/6J mice found that adding 7.0% maltose to a high-fat diet (HFD + Mal) resulted in significantly higher weight gain than a high-fat diet alone after 6 weeks </w:t>
      </w:r>
      <w:r>
        <w:rPr>
          <w:color w:val="000000" w:themeColor="text1"/>
        </w:rPr>
        <w:t xml:space="preserve">[7]. </w:t>
      </w:r>
      <w:r w:rsidRPr="000709E2">
        <w:rPr>
          <w:color w:val="000000" w:themeColor="text1"/>
        </w:rPr>
        <w:t xml:space="preserve">The HFD + Mal group also showed higher body mass index, relative liver weight, blood glucose levels, and plasma cholesterol levels than both </w:t>
      </w:r>
      <w:r>
        <w:rPr>
          <w:color w:val="000000"/>
        </w:rPr>
        <w:t>the control and high-fat diet groups.</w:t>
      </w:r>
      <w:r w:rsidRPr="000709E2">
        <w:rPr>
          <w:color w:val="000000" w:themeColor="text1"/>
        </w:rPr>
        <w:t xml:space="preserve"> Interestingly, the study noted that maltose content in raw sweet potatoes increased by 40 times upon baking, suggesting that consuming maltose-rich cooked sweet potatoes as part of a high-fat diet might worsen diet-induced overweight </w:t>
      </w:r>
      <w:r>
        <w:rPr>
          <w:color w:val="000000" w:themeColor="text1"/>
        </w:rPr>
        <w:t xml:space="preserve">[7]. </w:t>
      </w:r>
      <w:r w:rsidRPr="000709E2">
        <w:rPr>
          <w:color w:val="000000" w:themeColor="text1"/>
        </w:rPr>
        <w:t>This finding contradicts the common perception that sweet potatoes are a healthy food choice, highlighting the importance of considering food preparation methods and overall dietary context.</w:t>
      </w:r>
    </w:p>
    <w:p w14:paraId="7153D446" w14:textId="28070924" w:rsidR="00A77B3E" w:rsidRPr="000709E2" w:rsidRDefault="00882D4E" w:rsidP="00882D4E">
      <w:pPr>
        <w:spacing w:line="360" w:lineRule="auto"/>
        <w:ind w:firstLine="360"/>
        <w:jc w:val="both"/>
        <w:rPr>
          <w:color w:val="000000" w:themeColor="text1"/>
        </w:rPr>
      </w:pPr>
      <w:r w:rsidRPr="000709E2">
        <w:rPr>
          <w:color w:val="000000" w:themeColor="text1"/>
        </w:rPr>
        <w:t xml:space="preserve">Maltose itself may not be inherently hazardous, </w:t>
      </w:r>
      <w:r>
        <w:rPr>
          <w:color w:val="000000"/>
        </w:rPr>
        <w:t>and its consumption in combination with a high-fat diet can lead to adverse health effects</w:t>
      </w:r>
      <w:r w:rsidRPr="000709E2">
        <w:rPr>
          <w:color w:val="000000" w:themeColor="text1"/>
        </w:rPr>
        <w:t xml:space="preserve"> including increased obesity, elevated blood glucose and cholesterol levels, and potential liver issues.</w:t>
      </w:r>
    </w:p>
    <w:p w14:paraId="38036FCD" w14:textId="77777777" w:rsidR="00A77B3E" w:rsidRPr="000709E2" w:rsidRDefault="0063326D" w:rsidP="00CE5206">
      <w:pPr>
        <w:spacing w:line="360" w:lineRule="auto"/>
        <w:jc w:val="both"/>
        <w:rPr>
          <w:b/>
          <w:bCs/>
          <w:color w:val="000000" w:themeColor="text1"/>
        </w:rPr>
      </w:pPr>
      <w:proofErr w:type="spellStart"/>
      <w:r w:rsidRPr="000709E2">
        <w:rPr>
          <w:b/>
          <w:bCs/>
          <w:color w:val="000000" w:themeColor="text1"/>
        </w:rPr>
        <w:t>Osazone</w:t>
      </w:r>
      <w:proofErr w:type="spellEnd"/>
      <w:r w:rsidRPr="000709E2">
        <w:rPr>
          <w:b/>
          <w:bCs/>
          <w:color w:val="000000" w:themeColor="text1"/>
        </w:rPr>
        <w:t xml:space="preserve"> test</w:t>
      </w:r>
      <w:r w:rsidR="00D1329A" w:rsidRPr="000709E2">
        <w:rPr>
          <w:b/>
          <w:bCs/>
          <w:color w:val="000000" w:themeColor="text1"/>
        </w:rPr>
        <w:t xml:space="preserve">: </w:t>
      </w:r>
    </w:p>
    <w:p w14:paraId="23ECA792" w14:textId="77777777" w:rsidR="00882D4E" w:rsidRPr="000709E2" w:rsidRDefault="00882D4E" w:rsidP="00882D4E">
      <w:pPr>
        <w:spacing w:line="360" w:lineRule="auto"/>
        <w:ind w:firstLine="360"/>
        <w:jc w:val="both"/>
        <w:rPr>
          <w:color w:val="000000" w:themeColor="text1"/>
        </w:rPr>
      </w:pPr>
      <w:r w:rsidRPr="000709E2">
        <w:rPr>
          <w:color w:val="000000" w:themeColor="text1"/>
        </w:rPr>
        <w:t xml:space="preserve">The </w:t>
      </w:r>
      <w:proofErr w:type="spellStart"/>
      <w:r w:rsidRPr="000709E2">
        <w:rPr>
          <w:color w:val="000000" w:themeColor="text1"/>
        </w:rPr>
        <w:t>osazone</w:t>
      </w:r>
      <w:proofErr w:type="spellEnd"/>
      <w:r w:rsidRPr="000709E2">
        <w:rPr>
          <w:color w:val="000000" w:themeColor="text1"/>
        </w:rPr>
        <w:t xml:space="preserve"> test is an important reaction in carbohydrate chemistry </w:t>
      </w:r>
      <w:r>
        <w:rPr>
          <w:color w:val="000000"/>
        </w:rPr>
        <w:t xml:space="preserve">and is used to identify and characterize reducing sugars. It involves the reaction of reducing sugars with </w:t>
      </w:r>
      <w:proofErr w:type="spellStart"/>
      <w:r w:rsidRPr="000709E2">
        <w:rPr>
          <w:color w:val="000000" w:themeColor="text1"/>
        </w:rPr>
        <w:t>phenylhydrazine</w:t>
      </w:r>
      <w:proofErr w:type="spellEnd"/>
      <w:r w:rsidRPr="000709E2">
        <w:rPr>
          <w:color w:val="000000" w:themeColor="text1"/>
        </w:rPr>
        <w:t xml:space="preserve"> to form crystalline </w:t>
      </w:r>
      <w:proofErr w:type="spellStart"/>
      <w:r w:rsidRPr="000709E2">
        <w:rPr>
          <w:color w:val="000000" w:themeColor="text1"/>
        </w:rPr>
        <w:t>osazone</w:t>
      </w:r>
      <w:proofErr w:type="spellEnd"/>
      <w:r w:rsidRPr="000709E2">
        <w:rPr>
          <w:color w:val="000000" w:themeColor="text1"/>
        </w:rPr>
        <w:t xml:space="preserve"> compounds </w:t>
      </w:r>
      <w:r>
        <w:rPr>
          <w:color w:val="000000" w:themeColor="text1"/>
        </w:rPr>
        <w:t>[8].</w:t>
      </w:r>
    </w:p>
    <w:p w14:paraId="48E557A4" w14:textId="77777777" w:rsidR="00882D4E" w:rsidRPr="000709E2" w:rsidRDefault="00882D4E" w:rsidP="00882D4E">
      <w:pPr>
        <w:spacing w:line="360" w:lineRule="auto"/>
        <w:jc w:val="both"/>
        <w:rPr>
          <w:color w:val="000000" w:themeColor="text1"/>
        </w:rPr>
      </w:pPr>
    </w:p>
    <w:p w14:paraId="216012FC" w14:textId="77777777" w:rsidR="00882D4E" w:rsidRPr="000709E2" w:rsidRDefault="00882D4E" w:rsidP="00882D4E">
      <w:pPr>
        <w:spacing w:line="360" w:lineRule="auto"/>
        <w:ind w:firstLine="360"/>
        <w:jc w:val="both"/>
        <w:rPr>
          <w:color w:val="000000" w:themeColor="text1"/>
        </w:rPr>
      </w:pPr>
      <w:r w:rsidRPr="000709E2">
        <w:rPr>
          <w:color w:val="000000" w:themeColor="text1"/>
        </w:rPr>
        <w:t xml:space="preserve">The mechanism of </w:t>
      </w:r>
      <w:proofErr w:type="spellStart"/>
      <w:r w:rsidRPr="000709E2">
        <w:rPr>
          <w:color w:val="000000" w:themeColor="text1"/>
        </w:rPr>
        <w:t>osazone</w:t>
      </w:r>
      <w:proofErr w:type="spellEnd"/>
      <w:r w:rsidRPr="000709E2">
        <w:rPr>
          <w:color w:val="000000" w:themeColor="text1"/>
        </w:rPr>
        <w:t xml:space="preserve"> formation has been the subject of several studies. Recent theoretical findings have helped explain the factors that direct the </w:t>
      </w:r>
      <w:proofErr w:type="spellStart"/>
      <w:r w:rsidRPr="000709E2">
        <w:rPr>
          <w:color w:val="000000" w:themeColor="text1"/>
        </w:rPr>
        <w:t>regiochemistry</w:t>
      </w:r>
      <w:proofErr w:type="spellEnd"/>
      <w:r w:rsidRPr="000709E2">
        <w:rPr>
          <w:color w:val="000000" w:themeColor="text1"/>
        </w:rPr>
        <w:t xml:space="preserve"> of </w:t>
      </w:r>
      <w:proofErr w:type="spellStart"/>
      <w:r w:rsidRPr="000709E2">
        <w:rPr>
          <w:color w:val="000000" w:themeColor="text1"/>
        </w:rPr>
        <w:t>osazone</w:t>
      </w:r>
      <w:proofErr w:type="spellEnd"/>
      <w:r w:rsidRPr="000709E2">
        <w:rPr>
          <w:color w:val="000000" w:themeColor="text1"/>
        </w:rPr>
        <w:t xml:space="preserve"> formation</w:t>
      </w:r>
      <w:r>
        <w:rPr>
          <w:color w:val="000000" w:themeColor="text1"/>
        </w:rPr>
        <w:t xml:space="preserve"> [8]</w:t>
      </w:r>
      <w:r w:rsidRPr="000709E2">
        <w:rPr>
          <w:color w:val="000000" w:themeColor="text1"/>
        </w:rPr>
        <w:t xml:space="preserve">. The reaction proceeds through several steps, including </w:t>
      </w:r>
      <w:r>
        <w:rPr>
          <w:color w:val="000000"/>
        </w:rPr>
        <w:t xml:space="preserve">the initial formation of a </w:t>
      </w:r>
      <w:proofErr w:type="spellStart"/>
      <w:r w:rsidRPr="000709E2">
        <w:rPr>
          <w:color w:val="000000" w:themeColor="text1"/>
        </w:rPr>
        <w:t>phenylhydrazone</w:t>
      </w:r>
      <w:proofErr w:type="spellEnd"/>
      <w:r w:rsidRPr="000709E2">
        <w:rPr>
          <w:color w:val="000000" w:themeColor="text1"/>
        </w:rPr>
        <w:t xml:space="preserve">, conversion to an N-glycoside, </w:t>
      </w:r>
      <w:proofErr w:type="spellStart"/>
      <w:r w:rsidRPr="000709E2">
        <w:rPr>
          <w:color w:val="000000" w:themeColor="text1"/>
        </w:rPr>
        <w:t>Amadori</w:t>
      </w:r>
      <w:proofErr w:type="spellEnd"/>
      <w:r w:rsidRPr="000709E2">
        <w:rPr>
          <w:color w:val="000000" w:themeColor="text1"/>
        </w:rPr>
        <w:t xml:space="preserve"> rearrangement to a 1-deoxy-1-amino-2-ketose derivative, and dehydrogenation and transamination to </w:t>
      </w:r>
      <w:r>
        <w:rPr>
          <w:color w:val="000000" w:themeColor="text1"/>
        </w:rPr>
        <w:t xml:space="preserve">form the </w:t>
      </w:r>
      <w:proofErr w:type="spellStart"/>
      <w:r>
        <w:rPr>
          <w:color w:val="000000" w:themeColor="text1"/>
        </w:rPr>
        <w:t>phenylosazone</w:t>
      </w:r>
      <w:proofErr w:type="spellEnd"/>
      <w:r>
        <w:rPr>
          <w:color w:val="000000" w:themeColor="text1"/>
        </w:rPr>
        <w:t xml:space="preserve"> product [9].</w:t>
      </w:r>
    </w:p>
    <w:p w14:paraId="7DC5104E" w14:textId="77777777" w:rsidR="00882D4E" w:rsidRPr="000709E2" w:rsidRDefault="00882D4E" w:rsidP="00882D4E">
      <w:pPr>
        <w:spacing w:line="360" w:lineRule="auto"/>
        <w:jc w:val="both"/>
        <w:rPr>
          <w:color w:val="000000" w:themeColor="text1"/>
        </w:rPr>
      </w:pPr>
      <w:r>
        <w:rPr>
          <w:color w:val="000000"/>
        </w:rPr>
        <w:t xml:space="preserve">The </w:t>
      </w:r>
      <w:proofErr w:type="spellStart"/>
      <w:r w:rsidRPr="000709E2">
        <w:rPr>
          <w:color w:val="000000" w:themeColor="text1"/>
        </w:rPr>
        <w:t>osazone</w:t>
      </w:r>
      <w:proofErr w:type="spellEnd"/>
      <w:r w:rsidRPr="000709E2">
        <w:rPr>
          <w:color w:val="000000" w:themeColor="text1"/>
        </w:rPr>
        <w:t xml:space="preserve"> reaction is analogous to </w:t>
      </w:r>
      <w:r>
        <w:rPr>
          <w:color w:val="000000"/>
        </w:rPr>
        <w:t xml:space="preserve">that of other chemical systems. For example, the reaction of </w:t>
      </w:r>
      <w:proofErr w:type="spellStart"/>
      <w:r w:rsidRPr="000709E2">
        <w:rPr>
          <w:color w:val="000000" w:themeColor="text1"/>
        </w:rPr>
        <w:t>squaric</w:t>
      </w:r>
      <w:proofErr w:type="spellEnd"/>
      <w:r w:rsidRPr="000709E2">
        <w:rPr>
          <w:color w:val="000000" w:themeColor="text1"/>
        </w:rPr>
        <w:t xml:space="preserve"> acid with </w:t>
      </w:r>
      <w:proofErr w:type="spellStart"/>
      <w:r w:rsidRPr="000709E2">
        <w:rPr>
          <w:color w:val="000000" w:themeColor="text1"/>
        </w:rPr>
        <w:t>phenylhydrazine</w:t>
      </w:r>
      <w:proofErr w:type="spellEnd"/>
      <w:r w:rsidRPr="000709E2">
        <w:rPr>
          <w:color w:val="000000" w:themeColor="text1"/>
        </w:rPr>
        <w:t xml:space="preserve"> produces compounds analogous to intermediates in carbohydrate </w:t>
      </w:r>
      <w:proofErr w:type="spellStart"/>
      <w:r w:rsidRPr="000709E2">
        <w:rPr>
          <w:color w:val="000000" w:themeColor="text1"/>
        </w:rPr>
        <w:t>osazone</w:t>
      </w:r>
      <w:proofErr w:type="spellEnd"/>
      <w:r w:rsidRPr="000709E2">
        <w:rPr>
          <w:color w:val="000000" w:themeColor="text1"/>
        </w:rPr>
        <w:t xml:space="preserve"> formation</w:t>
      </w:r>
      <w:r>
        <w:rPr>
          <w:color w:val="000000" w:themeColor="text1"/>
        </w:rPr>
        <w:t xml:space="preserve"> [10]</w:t>
      </w:r>
      <w:r w:rsidRPr="000709E2">
        <w:rPr>
          <w:color w:val="000000" w:themeColor="text1"/>
        </w:rPr>
        <w:t xml:space="preserve">. The </w:t>
      </w:r>
      <w:proofErr w:type="spellStart"/>
      <w:r w:rsidRPr="000709E2">
        <w:rPr>
          <w:color w:val="000000" w:themeColor="text1"/>
        </w:rPr>
        <w:t>osazone</w:t>
      </w:r>
      <w:proofErr w:type="spellEnd"/>
      <w:r w:rsidRPr="000709E2">
        <w:rPr>
          <w:color w:val="000000" w:themeColor="text1"/>
        </w:rPr>
        <w:t xml:space="preserve"> test remains an important tool for sugar characterization and continues to be an area of mechanistic research in organic chemistry. Its inclusion in organic chemistry education helps fill gaps in </w:t>
      </w:r>
      <w:r>
        <w:rPr>
          <w:color w:val="000000"/>
        </w:rPr>
        <w:t xml:space="preserve">the understanding of carbohydrate reactivity </w:t>
      </w:r>
      <w:r>
        <w:rPr>
          <w:color w:val="000000" w:themeColor="text1"/>
        </w:rPr>
        <w:t>[8]</w:t>
      </w:r>
      <w:r w:rsidRPr="000709E2">
        <w:rPr>
          <w:color w:val="000000" w:themeColor="text1"/>
        </w:rPr>
        <w:t>.</w:t>
      </w:r>
    </w:p>
    <w:p w14:paraId="417893C4" w14:textId="77777777" w:rsidR="00C4320D" w:rsidRPr="000709E2" w:rsidRDefault="00C4320D" w:rsidP="00C4320D">
      <w:pPr>
        <w:spacing w:line="360" w:lineRule="auto"/>
        <w:jc w:val="center"/>
        <w:rPr>
          <w:color w:val="000000" w:themeColor="text1"/>
        </w:rPr>
      </w:pPr>
      <w:r w:rsidRPr="000709E2">
        <w:rPr>
          <w:noProof/>
          <w:color w:val="000000" w:themeColor="text1"/>
          <w:lang w:val="en-IN" w:eastAsia="en-IN" w:bidi="mr-IN"/>
        </w:rPr>
        <w:lastRenderedPageBreak/>
        <w:drawing>
          <wp:inline distT="0" distB="0" distL="0" distR="0" wp14:anchorId="13A15370" wp14:editId="2F0AAF87">
            <wp:extent cx="2339433" cy="2438400"/>
            <wp:effectExtent l="19050" t="19050" r="3810" b="0"/>
            <wp:docPr id="1" name="Picture 1" descr="C:\Users\MEGHRAJ\Desktop\pHD WRITEUP\JANHAVI PROJECT\Untitled Diagram.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HRAJ\Desktop\pHD WRITEUP\JANHAVI PROJECT\Untitled Diagram.drawi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9563" cy="2438535"/>
                    </a:xfrm>
                    <a:prstGeom prst="rect">
                      <a:avLst/>
                    </a:prstGeom>
                    <a:noFill/>
                    <a:ln w="12700">
                      <a:solidFill>
                        <a:schemeClr val="tx1"/>
                      </a:solidFill>
                    </a:ln>
                  </pic:spPr>
                </pic:pic>
              </a:graphicData>
            </a:graphic>
          </wp:inline>
        </w:drawing>
      </w:r>
    </w:p>
    <w:p w14:paraId="49C9AEF4" w14:textId="77777777" w:rsidR="00C4320D" w:rsidRPr="000709E2" w:rsidRDefault="00C4320D" w:rsidP="00C4320D">
      <w:pPr>
        <w:spacing w:line="360" w:lineRule="auto"/>
        <w:jc w:val="both"/>
        <w:rPr>
          <w:b/>
          <w:bCs/>
          <w:i/>
          <w:iCs/>
          <w:color w:val="000000" w:themeColor="text1"/>
        </w:rPr>
      </w:pPr>
      <w:r w:rsidRPr="000709E2">
        <w:rPr>
          <w:b/>
          <w:bCs/>
          <w:color w:val="000000" w:themeColor="text1"/>
        </w:rPr>
        <w:t>Fig</w:t>
      </w:r>
      <w:r w:rsidR="00513BEC" w:rsidRPr="000709E2">
        <w:rPr>
          <w:b/>
          <w:bCs/>
          <w:color w:val="000000" w:themeColor="text1"/>
        </w:rPr>
        <w:t>ure</w:t>
      </w:r>
      <w:r w:rsidRPr="000709E2">
        <w:rPr>
          <w:b/>
          <w:bCs/>
          <w:color w:val="000000" w:themeColor="text1"/>
        </w:rPr>
        <w:t xml:space="preserve"> 1: Illustration of the morphology of maltose crystals formed in the </w:t>
      </w:r>
      <w:proofErr w:type="spellStart"/>
      <w:r w:rsidRPr="000709E2">
        <w:rPr>
          <w:b/>
          <w:bCs/>
          <w:color w:val="000000" w:themeColor="text1"/>
        </w:rPr>
        <w:t>osazone</w:t>
      </w:r>
      <w:proofErr w:type="spellEnd"/>
      <w:r w:rsidRPr="000709E2">
        <w:rPr>
          <w:b/>
          <w:bCs/>
          <w:color w:val="000000" w:themeColor="text1"/>
        </w:rPr>
        <w:t xml:space="preserve"> test, referred to as </w:t>
      </w:r>
      <w:proofErr w:type="spellStart"/>
      <w:r w:rsidRPr="000709E2">
        <w:rPr>
          <w:b/>
          <w:bCs/>
          <w:i/>
          <w:iCs/>
          <w:color w:val="000000" w:themeColor="text1"/>
        </w:rPr>
        <w:t>maltosazone</w:t>
      </w:r>
      <w:proofErr w:type="spellEnd"/>
      <w:r w:rsidRPr="000709E2">
        <w:rPr>
          <w:b/>
          <w:bCs/>
          <w:i/>
          <w:iCs/>
          <w:color w:val="000000" w:themeColor="text1"/>
        </w:rPr>
        <w:t>.</w:t>
      </w:r>
    </w:p>
    <w:p w14:paraId="59499DEE" w14:textId="77777777" w:rsidR="00D1329A" w:rsidRPr="000709E2" w:rsidRDefault="00D1329A" w:rsidP="00702C28">
      <w:pPr>
        <w:pStyle w:val="NormalWeb"/>
        <w:spacing w:line="360" w:lineRule="auto"/>
        <w:jc w:val="both"/>
        <w:rPr>
          <w:b/>
          <w:bCs/>
          <w:color w:val="000000" w:themeColor="text1"/>
        </w:rPr>
      </w:pPr>
      <w:r w:rsidRPr="000709E2">
        <w:rPr>
          <w:b/>
          <w:bCs/>
          <w:color w:val="000000" w:themeColor="text1"/>
        </w:rPr>
        <w:t>Accurate estimation of maltose is crucial for ensuring food safety and quality:</w:t>
      </w:r>
    </w:p>
    <w:p w14:paraId="706FBAE4" w14:textId="77777777" w:rsidR="0015093A" w:rsidRPr="000709E2" w:rsidRDefault="0015093A" w:rsidP="0015093A">
      <w:pPr>
        <w:pStyle w:val="NormalWeb"/>
        <w:spacing w:line="360" w:lineRule="auto"/>
        <w:ind w:firstLine="720"/>
        <w:jc w:val="both"/>
        <w:rPr>
          <w:color w:val="000000" w:themeColor="text1"/>
        </w:rPr>
      </w:pPr>
      <w:r w:rsidRPr="000709E2">
        <w:rPr>
          <w:color w:val="000000" w:themeColor="text1"/>
        </w:rPr>
        <w:t xml:space="preserve">Accurate estimation </w:t>
      </w:r>
      <w:r>
        <w:rPr>
          <w:color w:val="000000"/>
        </w:rPr>
        <w:t xml:space="preserve">of maltose is essential for food safety and quality </w:t>
      </w:r>
      <w:r w:rsidRPr="000709E2">
        <w:rPr>
          <w:color w:val="000000" w:themeColor="text1"/>
        </w:rPr>
        <w:t xml:space="preserve">because of its role in various food products. In quality control, accurate maltose measurement ensures consistent product quality and influences taste, texture, and nutritional value, which are integral to quality management and assurance in the agro-food industry. For process monitoring, maltose levels indicate the effectiveness of food-processing steps, such as fermentation or enzymatic reactions. While not a </w:t>
      </w:r>
      <w:r>
        <w:rPr>
          <w:color w:val="000000"/>
        </w:rPr>
        <w:t>direct safety concern, maltose measurement contributes to broader safety protocols, as unexpected changes in its levels could indicate microbial activity or improper storage, potentially compromising food safety. Technological advancements, including the use of cutting-edge sensing methods</w:t>
      </w:r>
      <w:r w:rsidRPr="000709E2">
        <w:rPr>
          <w:color w:val="000000" w:themeColor="text1"/>
        </w:rPr>
        <w:t xml:space="preserve">, such as Aggregation-Induced Emission (AIE), offer improved sensitivity and accuracy in maltose detection </w:t>
      </w:r>
      <w:r>
        <w:rPr>
          <w:color w:val="000000" w:themeColor="text1"/>
        </w:rPr>
        <w:t>[11]</w:t>
      </w:r>
      <w:r w:rsidRPr="000709E2">
        <w:rPr>
          <w:color w:val="000000" w:themeColor="text1"/>
        </w:rPr>
        <w:t>, which supports food safety and quality assurance goals, forming a vital part of comprehensive quality management systems essential for producing safe and high-quality food products.</w:t>
      </w:r>
    </w:p>
    <w:p w14:paraId="0961BC0F" w14:textId="77777777" w:rsidR="0015093A" w:rsidRPr="000709E2" w:rsidRDefault="0015093A" w:rsidP="0015093A">
      <w:pPr>
        <w:spacing w:line="360" w:lineRule="auto"/>
        <w:ind w:firstLine="720"/>
        <w:jc w:val="both"/>
        <w:rPr>
          <w:color w:val="000000" w:themeColor="text1"/>
        </w:rPr>
      </w:pPr>
      <w:r w:rsidRPr="000709E2">
        <w:rPr>
          <w:color w:val="000000" w:themeColor="text1"/>
        </w:rPr>
        <w:t>Other methods, such as gas chromatography (GC)</w:t>
      </w:r>
      <w:r>
        <w:rPr>
          <w:color w:val="000000"/>
        </w:rPr>
        <w:t>, ha</w:t>
      </w:r>
      <w:r w:rsidRPr="000709E2">
        <w:rPr>
          <w:color w:val="000000" w:themeColor="text1"/>
        </w:rPr>
        <w:t xml:space="preserve">ve been used to analyze maltose in apple juice. This method involves forming </w:t>
      </w:r>
      <w:proofErr w:type="spellStart"/>
      <w:r w:rsidRPr="000709E2">
        <w:rPr>
          <w:color w:val="000000" w:themeColor="text1"/>
        </w:rPr>
        <w:t>silylated</w:t>
      </w:r>
      <w:proofErr w:type="spellEnd"/>
      <w:r w:rsidRPr="000709E2">
        <w:rPr>
          <w:color w:val="000000" w:themeColor="text1"/>
        </w:rPr>
        <w:t xml:space="preserve"> </w:t>
      </w:r>
      <w:proofErr w:type="spellStart"/>
      <w:r w:rsidRPr="000709E2">
        <w:rPr>
          <w:color w:val="000000" w:themeColor="text1"/>
        </w:rPr>
        <w:t>oxime</w:t>
      </w:r>
      <w:proofErr w:type="spellEnd"/>
      <w:r w:rsidRPr="000709E2">
        <w:rPr>
          <w:color w:val="000000" w:themeColor="text1"/>
        </w:rPr>
        <w:t xml:space="preserve"> derivatives in a two-stage reaction, which allows improved maltose analysis </w:t>
      </w:r>
      <w:r>
        <w:rPr>
          <w:color w:val="000000" w:themeColor="text1"/>
        </w:rPr>
        <w:t>[12]</w:t>
      </w:r>
      <w:r w:rsidRPr="000709E2">
        <w:rPr>
          <w:color w:val="000000" w:themeColor="text1"/>
        </w:rPr>
        <w:t>. GC is known to have high sensitivity and specificity.</w:t>
      </w:r>
    </w:p>
    <w:p w14:paraId="05784F6A" w14:textId="77777777" w:rsidR="0015093A" w:rsidRPr="000709E2" w:rsidRDefault="0015093A" w:rsidP="0015093A">
      <w:pPr>
        <w:spacing w:line="360" w:lineRule="auto"/>
        <w:jc w:val="both"/>
        <w:rPr>
          <w:color w:val="000000" w:themeColor="text1"/>
        </w:rPr>
      </w:pPr>
    </w:p>
    <w:p w14:paraId="738B3F51" w14:textId="77777777" w:rsidR="0015093A" w:rsidRPr="000709E2" w:rsidRDefault="0015093A" w:rsidP="0015093A">
      <w:pPr>
        <w:spacing w:line="360" w:lineRule="auto"/>
        <w:ind w:firstLine="720"/>
        <w:jc w:val="both"/>
        <w:rPr>
          <w:color w:val="000000" w:themeColor="text1"/>
        </w:rPr>
      </w:pPr>
      <w:r w:rsidRPr="000709E2">
        <w:rPr>
          <w:color w:val="000000" w:themeColor="text1"/>
        </w:rPr>
        <w:t xml:space="preserve">High-performance liquid chromatography (HPLC) is widely used for the determination </w:t>
      </w:r>
      <w:r>
        <w:rPr>
          <w:color w:val="000000"/>
        </w:rPr>
        <w:t xml:space="preserve">of maltose in various food products. It offers advantages, such as simplicity, specificity, and reliability, over a wide range of sugar concentrations in different food matrices. Sample preparation typically involves water-ethanol extraction and mini-column cleanup. HPLC can separate and quantify multiple sugars, including maltose, in less than 45 minutes </w:t>
      </w:r>
      <w:r>
        <w:rPr>
          <w:color w:val="000000" w:themeColor="text1"/>
        </w:rPr>
        <w:t>[13]</w:t>
      </w:r>
      <w:r w:rsidRPr="000709E2">
        <w:rPr>
          <w:color w:val="000000" w:themeColor="text1"/>
        </w:rPr>
        <w:t>.</w:t>
      </w:r>
    </w:p>
    <w:p w14:paraId="4008EDE7" w14:textId="77777777" w:rsidR="0015093A" w:rsidRDefault="0015093A" w:rsidP="0015093A">
      <w:pPr>
        <w:spacing w:line="360" w:lineRule="auto"/>
        <w:ind w:firstLine="720"/>
        <w:jc w:val="both"/>
        <w:rPr>
          <w:color w:val="000000" w:themeColor="text1"/>
        </w:rPr>
      </w:pPr>
      <w:r w:rsidRPr="000709E2">
        <w:rPr>
          <w:color w:val="000000" w:themeColor="text1"/>
        </w:rPr>
        <w:t xml:space="preserve">Enzymatic methods have also been developed for maltose analysis. These methods are more selective than </w:t>
      </w:r>
      <w:r>
        <w:rPr>
          <w:color w:val="000000"/>
        </w:rPr>
        <w:t>the standard non-enzymatic procedures and can be applied to a broad range of food products. For instance,</w:t>
      </w:r>
      <w:r>
        <w:rPr>
          <w:color w:val="000000" w:themeColor="text1"/>
        </w:rPr>
        <w:t xml:space="preserve"> the </w:t>
      </w:r>
      <w:proofErr w:type="spellStart"/>
      <w:r>
        <w:rPr>
          <w:color w:val="000000" w:themeColor="text1"/>
        </w:rPr>
        <w:t>Megazyme</w:t>
      </w:r>
      <w:proofErr w:type="spellEnd"/>
      <w:r>
        <w:rPr>
          <w:color w:val="000000" w:themeColor="text1"/>
        </w:rPr>
        <w:t xml:space="preserve"> enzymatic method </w:t>
      </w:r>
      <w:r w:rsidRPr="000709E2">
        <w:rPr>
          <w:color w:val="000000" w:themeColor="text1"/>
        </w:rPr>
        <w:t xml:space="preserve">has shown good repeatability and reproducibility for </w:t>
      </w:r>
      <w:r>
        <w:rPr>
          <w:color w:val="000000"/>
        </w:rPr>
        <w:t xml:space="preserve">the analysis of available </w:t>
      </w:r>
      <w:r w:rsidRPr="000709E2">
        <w:rPr>
          <w:color w:val="000000" w:themeColor="text1"/>
        </w:rPr>
        <w:t xml:space="preserve">carbohydrates, including maltose, in various food matrices </w:t>
      </w:r>
      <w:r>
        <w:rPr>
          <w:color w:val="000000" w:themeColor="text1"/>
        </w:rPr>
        <w:t>[14].</w:t>
      </w:r>
    </w:p>
    <w:p w14:paraId="41EB9831" w14:textId="77777777" w:rsidR="00367E40" w:rsidRPr="000709E2" w:rsidRDefault="00367E40" w:rsidP="0015093A">
      <w:pPr>
        <w:spacing w:line="360" w:lineRule="auto"/>
        <w:ind w:firstLine="720"/>
        <w:jc w:val="both"/>
        <w:rPr>
          <w:color w:val="000000" w:themeColor="text1"/>
        </w:rPr>
      </w:pPr>
    </w:p>
    <w:p w14:paraId="319B8AEA" w14:textId="77777777" w:rsidR="0015093A" w:rsidRPr="000709E2" w:rsidRDefault="0015093A" w:rsidP="0015093A">
      <w:pPr>
        <w:spacing w:line="360" w:lineRule="auto"/>
        <w:jc w:val="both"/>
        <w:rPr>
          <w:color w:val="000000" w:themeColor="text1"/>
        </w:rPr>
      </w:pPr>
      <w:r w:rsidRPr="000709E2">
        <w:rPr>
          <w:color w:val="000000" w:themeColor="text1"/>
        </w:rPr>
        <w:t xml:space="preserve">In comparison, the </w:t>
      </w:r>
      <w:proofErr w:type="spellStart"/>
      <w:r w:rsidRPr="000709E2">
        <w:rPr>
          <w:color w:val="000000" w:themeColor="text1"/>
        </w:rPr>
        <w:t>osazone</w:t>
      </w:r>
      <w:proofErr w:type="spellEnd"/>
      <w:r w:rsidRPr="000709E2">
        <w:rPr>
          <w:color w:val="000000" w:themeColor="text1"/>
        </w:rPr>
        <w:t xml:space="preserve"> test is considerably more straightforward and effective than the aforementioned methods </w:t>
      </w:r>
      <w:r>
        <w:rPr>
          <w:color w:val="000000"/>
        </w:rPr>
        <w:t xml:space="preserve">for </w:t>
      </w:r>
      <w:r w:rsidRPr="000709E2">
        <w:rPr>
          <w:color w:val="000000" w:themeColor="text1"/>
        </w:rPr>
        <w:t>qualitative estimation</w:t>
      </w:r>
      <w:r>
        <w:rPr>
          <w:color w:val="000000"/>
        </w:rPr>
        <w:t xml:space="preserve"> of maltose.</w:t>
      </w:r>
    </w:p>
    <w:p w14:paraId="372CFE3D" w14:textId="77777777" w:rsidR="0015093A" w:rsidRPr="000709E2" w:rsidRDefault="0015093A" w:rsidP="0015093A">
      <w:pPr>
        <w:spacing w:line="360" w:lineRule="auto"/>
        <w:ind w:firstLine="720"/>
        <w:jc w:val="both"/>
        <w:rPr>
          <w:color w:val="000000" w:themeColor="text1"/>
          <w:lang w:val="en-IN" w:eastAsia="en-IN" w:bidi="mr-IN"/>
        </w:rPr>
      </w:pPr>
      <w:r w:rsidRPr="000709E2">
        <w:rPr>
          <w:color w:val="000000" w:themeColor="text1"/>
          <w:lang w:val="en-IN" w:eastAsia="en-IN" w:bidi="mr-IN"/>
        </w:rPr>
        <w:t xml:space="preserve">Although the </w:t>
      </w:r>
      <w:proofErr w:type="spellStart"/>
      <w:r w:rsidRPr="000709E2">
        <w:rPr>
          <w:color w:val="000000" w:themeColor="text1"/>
          <w:lang w:val="en-IN" w:eastAsia="en-IN" w:bidi="mr-IN"/>
        </w:rPr>
        <w:t>osazone</w:t>
      </w:r>
      <w:proofErr w:type="spellEnd"/>
      <w:r w:rsidRPr="000709E2">
        <w:rPr>
          <w:color w:val="000000" w:themeColor="text1"/>
          <w:lang w:val="en-IN" w:eastAsia="en-IN" w:bidi="mr-IN"/>
        </w:rPr>
        <w:t xml:space="preserve"> test is a reliable method for estimating maltose, there is limited research on its application in diverse food products. The aim of this study was to evaluate the efficacy of the </w:t>
      </w:r>
      <w:proofErr w:type="spellStart"/>
      <w:r w:rsidRPr="000709E2">
        <w:rPr>
          <w:color w:val="000000" w:themeColor="text1"/>
          <w:lang w:val="en-IN" w:eastAsia="en-IN" w:bidi="mr-IN"/>
        </w:rPr>
        <w:t>osazone</w:t>
      </w:r>
      <w:proofErr w:type="spellEnd"/>
      <w:r w:rsidRPr="000709E2">
        <w:rPr>
          <w:color w:val="000000" w:themeColor="text1"/>
          <w:lang w:val="en-IN" w:eastAsia="en-IN" w:bidi="mr-IN"/>
        </w:rPr>
        <w:t xml:space="preserve"> test for qualitative estimation of maltose in a variety of food products.</w:t>
      </w:r>
    </w:p>
    <w:p w14:paraId="54222BB9" w14:textId="77777777" w:rsidR="0015093A" w:rsidRPr="000709E2" w:rsidRDefault="0015093A" w:rsidP="0015093A">
      <w:pPr>
        <w:spacing w:line="360" w:lineRule="auto"/>
        <w:jc w:val="both"/>
        <w:rPr>
          <w:color w:val="000000" w:themeColor="text1"/>
        </w:rPr>
      </w:pPr>
      <w:r w:rsidRPr="000709E2">
        <w:rPr>
          <w:color w:val="000000" w:themeColor="text1"/>
        </w:rPr>
        <w:t xml:space="preserve">The objective of this study was to evaluate </w:t>
      </w:r>
      <w:r>
        <w:rPr>
          <w:color w:val="000000"/>
        </w:rPr>
        <w:t xml:space="preserve">the efficacy of the </w:t>
      </w:r>
      <w:proofErr w:type="spellStart"/>
      <w:r w:rsidRPr="000709E2">
        <w:rPr>
          <w:color w:val="000000" w:themeColor="text1"/>
        </w:rPr>
        <w:t>osazone</w:t>
      </w:r>
      <w:proofErr w:type="spellEnd"/>
      <w:r w:rsidRPr="000709E2">
        <w:rPr>
          <w:color w:val="000000" w:themeColor="text1"/>
        </w:rPr>
        <w:t xml:space="preserve"> test as a potential tool for screening </w:t>
      </w:r>
      <w:r>
        <w:rPr>
          <w:color w:val="000000"/>
        </w:rPr>
        <w:t>for maltose in various food products.</w:t>
      </w:r>
    </w:p>
    <w:p w14:paraId="5AC750B9" w14:textId="77777777" w:rsidR="00B9715E" w:rsidRPr="000709E2" w:rsidRDefault="00B9715E" w:rsidP="0019327E">
      <w:pPr>
        <w:spacing w:line="360" w:lineRule="auto"/>
        <w:jc w:val="both"/>
        <w:rPr>
          <w:color w:val="000000" w:themeColor="text1"/>
        </w:rPr>
      </w:pPr>
    </w:p>
    <w:p w14:paraId="2B70B914" w14:textId="77777777" w:rsidR="00C8147C" w:rsidRPr="000709E2" w:rsidRDefault="00C8147C" w:rsidP="0019327E">
      <w:pPr>
        <w:spacing w:line="360" w:lineRule="auto"/>
        <w:jc w:val="both"/>
        <w:rPr>
          <w:b/>
          <w:bCs/>
          <w:color w:val="000000" w:themeColor="text1"/>
        </w:rPr>
      </w:pPr>
      <w:r w:rsidRPr="000709E2">
        <w:rPr>
          <w:b/>
          <w:bCs/>
          <w:color w:val="000000" w:themeColor="text1"/>
        </w:rPr>
        <w:t>Material</w:t>
      </w:r>
      <w:r w:rsidR="00B9013D">
        <w:rPr>
          <w:b/>
          <w:bCs/>
          <w:color w:val="000000" w:themeColor="text1"/>
        </w:rPr>
        <w:t>s and</w:t>
      </w:r>
      <w:r w:rsidRPr="000709E2">
        <w:rPr>
          <w:b/>
          <w:bCs/>
          <w:color w:val="000000" w:themeColor="text1"/>
        </w:rPr>
        <w:t xml:space="preserve"> Methods:</w:t>
      </w:r>
    </w:p>
    <w:p w14:paraId="4068C66B" w14:textId="77777777" w:rsidR="0015093A" w:rsidRPr="000709E2" w:rsidRDefault="0015093A" w:rsidP="0015093A">
      <w:pPr>
        <w:spacing w:line="360" w:lineRule="auto"/>
        <w:ind w:firstLine="720"/>
        <w:jc w:val="both"/>
        <w:rPr>
          <w:color w:val="000000" w:themeColor="text1"/>
          <w:szCs w:val="22"/>
        </w:rPr>
      </w:pPr>
      <w:r w:rsidRPr="000709E2">
        <w:rPr>
          <w:color w:val="000000" w:themeColor="text1"/>
          <w:szCs w:val="22"/>
        </w:rPr>
        <w:t xml:space="preserve">Packed food products, both branded and unbranded, were categorized into solids (e.g., </w:t>
      </w:r>
      <w:proofErr w:type="spellStart"/>
      <w:r w:rsidRPr="000709E2">
        <w:rPr>
          <w:color w:val="000000" w:themeColor="text1"/>
          <w:szCs w:val="22"/>
        </w:rPr>
        <w:t>Chochalates</w:t>
      </w:r>
      <w:proofErr w:type="spellEnd"/>
      <w:r w:rsidRPr="000709E2">
        <w:rPr>
          <w:color w:val="000000" w:themeColor="text1"/>
          <w:szCs w:val="22"/>
        </w:rPr>
        <w:t xml:space="preserve">, Coco powder) and liquids (e.g., juices, </w:t>
      </w:r>
      <w:proofErr w:type="spellStart"/>
      <w:r w:rsidRPr="000709E2">
        <w:rPr>
          <w:color w:val="000000" w:themeColor="text1"/>
          <w:szCs w:val="22"/>
        </w:rPr>
        <w:t>chochalate</w:t>
      </w:r>
      <w:proofErr w:type="spellEnd"/>
      <w:r w:rsidRPr="000709E2">
        <w:rPr>
          <w:color w:val="000000" w:themeColor="text1"/>
          <w:szCs w:val="22"/>
        </w:rPr>
        <w:t xml:space="preserve"> syrup). Solid samples were crushed and diluted to 10% (w/v), whereas </w:t>
      </w:r>
      <w:r>
        <w:rPr>
          <w:color w:val="000000"/>
          <w:szCs w:val="22"/>
        </w:rPr>
        <w:t xml:space="preserve">the liquid samples were diluted 1:1 with distilled water. </w:t>
      </w:r>
      <w:r w:rsidRPr="000709E2">
        <w:rPr>
          <w:color w:val="000000" w:themeColor="text1"/>
          <w:szCs w:val="22"/>
        </w:rPr>
        <w:t xml:space="preserve">An </w:t>
      </w:r>
      <w:proofErr w:type="spellStart"/>
      <w:r w:rsidRPr="000709E2">
        <w:rPr>
          <w:color w:val="000000" w:themeColor="text1"/>
          <w:szCs w:val="22"/>
        </w:rPr>
        <w:t>osazone</w:t>
      </w:r>
      <w:proofErr w:type="spellEnd"/>
      <w:r w:rsidRPr="000709E2">
        <w:rPr>
          <w:color w:val="000000" w:themeColor="text1"/>
          <w:szCs w:val="22"/>
        </w:rPr>
        <w:t xml:space="preserve"> reagent comprising </w:t>
      </w:r>
      <w:proofErr w:type="spellStart"/>
      <w:r w:rsidRPr="000709E2">
        <w:rPr>
          <w:color w:val="000000" w:themeColor="text1"/>
          <w:szCs w:val="22"/>
        </w:rPr>
        <w:t>phenylhydrazine</w:t>
      </w:r>
      <w:proofErr w:type="spellEnd"/>
      <w:r w:rsidRPr="000709E2">
        <w:rPr>
          <w:color w:val="000000" w:themeColor="text1"/>
          <w:szCs w:val="22"/>
        </w:rPr>
        <w:t xml:space="preserve"> hydrochloride, sodium acetate, and glacial acetic acid was prepared. Each diluted sample was mixed with the reagent, heated in a boiling water bath for 10 min, and cooled to room temperature. </w:t>
      </w:r>
      <w:r>
        <w:rPr>
          <w:color w:val="000000"/>
          <w:szCs w:val="22"/>
        </w:rPr>
        <w:t xml:space="preserve">The </w:t>
      </w:r>
      <w:r w:rsidRPr="000709E2">
        <w:rPr>
          <w:color w:val="000000" w:themeColor="text1"/>
          <w:szCs w:val="22"/>
        </w:rPr>
        <w:t xml:space="preserve">formation of </w:t>
      </w:r>
      <w:proofErr w:type="spellStart"/>
      <w:r w:rsidRPr="000709E2">
        <w:rPr>
          <w:color w:val="000000" w:themeColor="text1"/>
          <w:szCs w:val="22"/>
        </w:rPr>
        <w:t>maltosazone</w:t>
      </w:r>
      <w:proofErr w:type="spellEnd"/>
      <w:r w:rsidRPr="000709E2">
        <w:rPr>
          <w:color w:val="000000" w:themeColor="text1"/>
          <w:szCs w:val="22"/>
        </w:rPr>
        <w:t xml:space="preserve"> crystals was observed under an optical microscope and images were captured using mobile phones. The presence of crystals has been documented and compared across different food products.</w:t>
      </w:r>
    </w:p>
    <w:p w14:paraId="0E90CEB1" w14:textId="77777777" w:rsidR="0015093A" w:rsidRPr="000709E2" w:rsidRDefault="0015093A" w:rsidP="0015093A">
      <w:pPr>
        <w:spacing w:line="360" w:lineRule="auto"/>
        <w:ind w:firstLine="720"/>
        <w:jc w:val="both"/>
        <w:rPr>
          <w:color w:val="000000" w:themeColor="text1"/>
          <w:szCs w:val="22"/>
        </w:rPr>
      </w:pPr>
      <w:r w:rsidRPr="000709E2">
        <w:rPr>
          <w:color w:val="000000" w:themeColor="text1"/>
          <w:szCs w:val="22"/>
        </w:rPr>
        <w:lastRenderedPageBreak/>
        <w:t>Various food products were designated A, B, C, and D to maintain brand anonymity. The generic nomenclature of the products was used for product identification.</w:t>
      </w:r>
    </w:p>
    <w:p w14:paraId="6B49E672" w14:textId="77777777" w:rsidR="00B9013D" w:rsidRDefault="00B9013D" w:rsidP="006B3024">
      <w:pPr>
        <w:spacing w:line="360" w:lineRule="auto"/>
        <w:jc w:val="both"/>
        <w:rPr>
          <w:b/>
          <w:bCs/>
          <w:lang w:val="en-IN" w:eastAsia="en-IN" w:bidi="mr-IN"/>
        </w:rPr>
      </w:pPr>
    </w:p>
    <w:p w14:paraId="0D1A95FC" w14:textId="77777777" w:rsidR="002D1A09" w:rsidRDefault="006961C9" w:rsidP="006B3024">
      <w:pPr>
        <w:spacing w:line="360" w:lineRule="auto"/>
        <w:jc w:val="both"/>
        <w:rPr>
          <w:b/>
          <w:bCs/>
          <w:lang w:val="en-IN" w:eastAsia="en-IN" w:bidi="mr-IN"/>
        </w:rPr>
      </w:pPr>
      <w:r>
        <w:rPr>
          <w:b/>
          <w:bCs/>
          <w:lang w:val="en-IN" w:eastAsia="en-IN" w:bidi="mr-IN"/>
        </w:rPr>
        <w:t>Results and Discussion:</w:t>
      </w:r>
    </w:p>
    <w:p w14:paraId="4FF88DAF" w14:textId="77777777" w:rsidR="001322AF" w:rsidRDefault="001322AF" w:rsidP="006961C9">
      <w:pPr>
        <w:jc w:val="center"/>
        <w:rPr>
          <w:b/>
          <w:bCs/>
          <w:lang w:eastAsia="en-IN"/>
        </w:rPr>
      </w:pPr>
    </w:p>
    <w:p w14:paraId="0D6041B4" w14:textId="77777777" w:rsidR="006961C9" w:rsidRDefault="006961C9" w:rsidP="006961C9">
      <w:pPr>
        <w:jc w:val="center"/>
        <w:rPr>
          <w:b/>
          <w:bCs/>
          <w:lang w:eastAsia="en-IN"/>
        </w:rPr>
      </w:pPr>
      <w:r w:rsidRPr="005E2DCE">
        <w:rPr>
          <w:b/>
          <w:bCs/>
          <w:lang w:eastAsia="en-IN"/>
        </w:rPr>
        <w:t xml:space="preserve">Table 1: Morphometric variations of </w:t>
      </w:r>
      <w:proofErr w:type="spellStart"/>
      <w:r>
        <w:rPr>
          <w:b/>
          <w:bCs/>
          <w:lang w:eastAsia="en-IN"/>
        </w:rPr>
        <w:t>Malto</w:t>
      </w:r>
      <w:r w:rsidRPr="005E2DCE">
        <w:rPr>
          <w:b/>
          <w:bCs/>
          <w:lang w:eastAsia="en-IN"/>
        </w:rPr>
        <w:t>sazone</w:t>
      </w:r>
      <w:proofErr w:type="spellEnd"/>
      <w:r w:rsidRPr="005E2DCE">
        <w:rPr>
          <w:b/>
          <w:bCs/>
          <w:lang w:eastAsia="en-IN"/>
        </w:rPr>
        <w:t xml:space="preserve"> crystals in different food products</w:t>
      </w:r>
    </w:p>
    <w:p w14:paraId="40C542AC" w14:textId="77777777" w:rsidR="006961C9" w:rsidRPr="005E2DCE" w:rsidRDefault="006961C9" w:rsidP="006961C9">
      <w:pPr>
        <w:jc w:val="center"/>
        <w:rPr>
          <w:b/>
          <w:bCs/>
          <w:lang w:eastAsia="en-IN"/>
        </w:rPr>
      </w:pPr>
    </w:p>
    <w:tbl>
      <w:tblPr>
        <w:tblStyle w:val="TableClassic1"/>
        <w:tblW w:w="5000" w:type="pct"/>
        <w:tblLook w:val="04A0" w:firstRow="1" w:lastRow="0" w:firstColumn="1" w:lastColumn="0" w:noHBand="0" w:noVBand="1"/>
      </w:tblPr>
      <w:tblGrid>
        <w:gridCol w:w="511"/>
        <w:gridCol w:w="950"/>
        <w:gridCol w:w="889"/>
        <w:gridCol w:w="750"/>
        <w:gridCol w:w="933"/>
        <w:gridCol w:w="816"/>
        <w:gridCol w:w="1205"/>
        <w:gridCol w:w="1350"/>
        <w:gridCol w:w="1027"/>
        <w:gridCol w:w="1145"/>
      </w:tblGrid>
      <w:tr w:rsidR="006961C9" w:rsidRPr="00574BC1" w14:paraId="29219BFB" w14:textId="77777777" w:rsidTr="008C2069">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1" w:type="pct"/>
            <w:vMerge w:val="restart"/>
          </w:tcPr>
          <w:p w14:paraId="6A9BA7BC" w14:textId="77777777" w:rsidR="006961C9" w:rsidRPr="00574BC1" w:rsidRDefault="006961C9" w:rsidP="00CB317C">
            <w:pPr>
              <w:jc w:val="center"/>
              <w:rPr>
                <w:b/>
                <w:bCs/>
                <w:sz w:val="20"/>
                <w:lang w:eastAsia="en-IN"/>
              </w:rPr>
            </w:pPr>
            <w:r w:rsidRPr="00574BC1">
              <w:rPr>
                <w:b/>
                <w:bCs/>
                <w:sz w:val="20"/>
                <w:lang w:eastAsia="en-IN"/>
              </w:rPr>
              <w:t>Sr. No.</w:t>
            </w:r>
          </w:p>
        </w:tc>
        <w:tc>
          <w:tcPr>
            <w:tcW w:w="464" w:type="pct"/>
            <w:vMerge w:val="restart"/>
          </w:tcPr>
          <w:p w14:paraId="707EBCAC" w14:textId="77777777" w:rsidR="006961C9" w:rsidRPr="00574BC1" w:rsidRDefault="006961C9" w:rsidP="00CB317C">
            <w:pPr>
              <w:jc w:val="center"/>
              <w:cnfStyle w:val="100000000000" w:firstRow="1"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Food Products</w:t>
            </w:r>
          </w:p>
        </w:tc>
        <w:tc>
          <w:tcPr>
            <w:tcW w:w="601" w:type="pct"/>
            <w:vMerge w:val="restart"/>
          </w:tcPr>
          <w:p w14:paraId="49190978" w14:textId="77777777" w:rsidR="006961C9" w:rsidRPr="00574BC1" w:rsidRDefault="006961C9" w:rsidP="00CB317C">
            <w:pPr>
              <w:jc w:val="center"/>
              <w:cnfStyle w:val="100000000000" w:firstRow="1"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Generic</w:t>
            </w:r>
          </w:p>
          <w:p w14:paraId="608D2B84" w14:textId="77777777" w:rsidR="006961C9" w:rsidRPr="00574BC1" w:rsidRDefault="006961C9" w:rsidP="00CB317C">
            <w:pPr>
              <w:jc w:val="center"/>
              <w:cnfStyle w:val="100000000000" w:firstRow="1"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name</w:t>
            </w:r>
          </w:p>
        </w:tc>
        <w:tc>
          <w:tcPr>
            <w:tcW w:w="354" w:type="pct"/>
            <w:vMerge w:val="restart"/>
          </w:tcPr>
          <w:p w14:paraId="22CB4883" w14:textId="77777777" w:rsidR="006961C9" w:rsidRPr="00574BC1" w:rsidRDefault="006961C9" w:rsidP="00CB317C">
            <w:pPr>
              <w:jc w:val="center"/>
              <w:cnfStyle w:val="100000000000" w:firstRow="1"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State</w:t>
            </w:r>
          </w:p>
        </w:tc>
        <w:tc>
          <w:tcPr>
            <w:tcW w:w="624" w:type="pct"/>
            <w:vMerge w:val="restart"/>
          </w:tcPr>
          <w:p w14:paraId="6BA99018" w14:textId="77777777" w:rsidR="006961C9" w:rsidRPr="00574BC1" w:rsidRDefault="006961C9" w:rsidP="00CB317C">
            <w:pPr>
              <w:jc w:val="center"/>
              <w:cnfStyle w:val="100000000000" w:firstRow="1"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Dilution</w:t>
            </w:r>
          </w:p>
          <w:p w14:paraId="6309E5FF" w14:textId="77777777" w:rsidR="006961C9" w:rsidRPr="00574BC1" w:rsidRDefault="006961C9" w:rsidP="00CB317C">
            <w:pPr>
              <w:jc w:val="center"/>
              <w:cnfStyle w:val="100000000000" w:firstRow="1"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Factor</w:t>
            </w:r>
            <w:r>
              <w:rPr>
                <w:b/>
                <w:bCs/>
                <w:sz w:val="20"/>
                <w:lang w:eastAsia="en-IN"/>
              </w:rPr>
              <w:t>*</w:t>
            </w:r>
          </w:p>
          <w:p w14:paraId="0DC95C74" w14:textId="77777777" w:rsidR="006961C9" w:rsidRPr="00574BC1" w:rsidRDefault="006961C9" w:rsidP="00CB317C">
            <w:pPr>
              <w:ind w:left="-80" w:right="-115"/>
              <w:jc w:val="center"/>
              <w:cnfStyle w:val="100000000000" w:firstRow="1" w:lastRow="0" w:firstColumn="0" w:lastColumn="0" w:oddVBand="0" w:evenVBand="0" w:oddHBand="0" w:evenHBand="0" w:firstRowFirstColumn="0" w:firstRowLastColumn="0" w:lastRowFirstColumn="0" w:lastRowLastColumn="0"/>
              <w:rPr>
                <w:b/>
                <w:bCs/>
                <w:sz w:val="20"/>
                <w:lang w:eastAsia="en-IN"/>
              </w:rPr>
            </w:pPr>
          </w:p>
        </w:tc>
        <w:tc>
          <w:tcPr>
            <w:tcW w:w="2716" w:type="pct"/>
            <w:gridSpan w:val="5"/>
          </w:tcPr>
          <w:p w14:paraId="00EC8870" w14:textId="77777777" w:rsidR="006961C9" w:rsidRPr="00FD5276" w:rsidRDefault="006961C9" w:rsidP="00CB317C">
            <w:pPr>
              <w:jc w:val="center"/>
              <w:cnfStyle w:val="100000000000" w:firstRow="1" w:lastRow="0" w:firstColumn="0" w:lastColumn="0" w:oddVBand="0" w:evenVBand="0" w:oddHBand="0" w:evenHBand="0" w:firstRowFirstColumn="0" w:firstRowLastColumn="0" w:lastRowFirstColumn="0" w:lastRowLastColumn="0"/>
              <w:rPr>
                <w:b/>
                <w:bCs/>
                <w:sz w:val="20"/>
                <w:lang w:eastAsia="en-IN"/>
              </w:rPr>
            </w:pPr>
            <w:r w:rsidRPr="00FD5276">
              <w:rPr>
                <w:b/>
                <w:bCs/>
                <w:sz w:val="20"/>
                <w:lang w:eastAsia="en-IN"/>
              </w:rPr>
              <w:t xml:space="preserve">Morphometric observations of </w:t>
            </w:r>
            <w:proofErr w:type="spellStart"/>
            <w:r w:rsidRPr="00FD5276">
              <w:rPr>
                <w:b/>
                <w:bCs/>
                <w:sz w:val="20"/>
                <w:lang w:eastAsia="en-IN"/>
              </w:rPr>
              <w:t>Maltosazone</w:t>
            </w:r>
            <w:proofErr w:type="spellEnd"/>
            <w:r w:rsidRPr="00FD5276">
              <w:rPr>
                <w:b/>
                <w:bCs/>
                <w:sz w:val="20"/>
                <w:lang w:eastAsia="en-IN"/>
              </w:rPr>
              <w:t xml:space="preserve"> crystals</w:t>
            </w:r>
          </w:p>
          <w:p w14:paraId="0D3AF04E" w14:textId="77777777" w:rsidR="006961C9" w:rsidRPr="00FD5276" w:rsidRDefault="006961C9" w:rsidP="00CB317C">
            <w:pPr>
              <w:jc w:val="center"/>
              <w:cnfStyle w:val="100000000000" w:firstRow="1" w:lastRow="0" w:firstColumn="0" w:lastColumn="0" w:oddVBand="0" w:evenVBand="0" w:oddHBand="0" w:evenHBand="0" w:firstRowFirstColumn="0" w:firstRowLastColumn="0" w:lastRowFirstColumn="0" w:lastRowLastColumn="0"/>
              <w:rPr>
                <w:b/>
                <w:bCs/>
                <w:sz w:val="20"/>
                <w:lang w:eastAsia="en-IN"/>
              </w:rPr>
            </w:pPr>
          </w:p>
        </w:tc>
      </w:tr>
      <w:tr w:rsidR="006961C9" w:rsidRPr="00574BC1" w14:paraId="6A25FF81" w14:textId="77777777" w:rsidTr="008C2069">
        <w:trPr>
          <w:trHeight w:val="510"/>
        </w:trPr>
        <w:tc>
          <w:tcPr>
            <w:cnfStyle w:val="001000000000" w:firstRow="0" w:lastRow="0" w:firstColumn="1" w:lastColumn="0" w:oddVBand="0" w:evenVBand="0" w:oddHBand="0" w:evenHBand="0" w:firstRowFirstColumn="0" w:firstRowLastColumn="0" w:lastRowFirstColumn="0" w:lastRowLastColumn="0"/>
            <w:tcW w:w="241" w:type="pct"/>
            <w:vMerge/>
          </w:tcPr>
          <w:p w14:paraId="0969C1A5" w14:textId="77777777" w:rsidR="006961C9" w:rsidRPr="00574BC1" w:rsidRDefault="006961C9" w:rsidP="00CB317C">
            <w:pPr>
              <w:jc w:val="center"/>
              <w:rPr>
                <w:b/>
                <w:bCs/>
                <w:sz w:val="20"/>
                <w:lang w:eastAsia="en-IN"/>
              </w:rPr>
            </w:pPr>
          </w:p>
        </w:tc>
        <w:tc>
          <w:tcPr>
            <w:tcW w:w="464" w:type="pct"/>
            <w:vMerge/>
          </w:tcPr>
          <w:p w14:paraId="39367D6B"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p>
        </w:tc>
        <w:tc>
          <w:tcPr>
            <w:tcW w:w="601" w:type="pct"/>
            <w:vMerge/>
          </w:tcPr>
          <w:p w14:paraId="7A7642FA"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p>
        </w:tc>
        <w:tc>
          <w:tcPr>
            <w:tcW w:w="354" w:type="pct"/>
            <w:vMerge/>
          </w:tcPr>
          <w:p w14:paraId="25F475E5"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p>
        </w:tc>
        <w:tc>
          <w:tcPr>
            <w:tcW w:w="624" w:type="pct"/>
            <w:vMerge/>
          </w:tcPr>
          <w:p w14:paraId="2E5B9C72"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p>
        </w:tc>
        <w:tc>
          <w:tcPr>
            <w:tcW w:w="401" w:type="pct"/>
          </w:tcPr>
          <w:p w14:paraId="0B8D9B7B"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proofErr w:type="spellStart"/>
            <w:r w:rsidRPr="00574BC1">
              <w:rPr>
                <w:b/>
                <w:bCs/>
                <w:sz w:val="20"/>
                <w:lang w:eastAsia="en-IN"/>
              </w:rPr>
              <w:t>Colour</w:t>
            </w:r>
            <w:proofErr w:type="spellEnd"/>
          </w:p>
        </w:tc>
        <w:tc>
          <w:tcPr>
            <w:tcW w:w="611" w:type="pct"/>
          </w:tcPr>
          <w:p w14:paraId="52927DE5"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Crystal shape</w:t>
            </w:r>
            <w:r>
              <w:rPr>
                <w:b/>
                <w:bCs/>
                <w:sz w:val="20"/>
                <w:lang w:eastAsia="en-IN"/>
              </w:rPr>
              <w:t>s</w:t>
            </w:r>
          </w:p>
        </w:tc>
        <w:tc>
          <w:tcPr>
            <w:tcW w:w="678" w:type="pct"/>
          </w:tcPr>
          <w:p w14:paraId="58F4AD94"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Crystal pattern</w:t>
            </w:r>
          </w:p>
        </w:tc>
        <w:tc>
          <w:tcPr>
            <w:tcW w:w="484" w:type="pct"/>
          </w:tcPr>
          <w:p w14:paraId="3DB3FC7A"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Inference</w:t>
            </w:r>
          </w:p>
          <w:p w14:paraId="3CE9BBDF"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w:t>
            </w:r>
          </w:p>
        </w:tc>
        <w:tc>
          <w:tcPr>
            <w:tcW w:w="541" w:type="pct"/>
          </w:tcPr>
          <w:p w14:paraId="6DD934E6"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Intensity</w:t>
            </w:r>
          </w:p>
          <w:p w14:paraId="40CF420F"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w:t>
            </w:r>
          </w:p>
        </w:tc>
      </w:tr>
      <w:tr w:rsidR="006961C9" w:rsidRPr="00574BC1" w14:paraId="268AA0D7" w14:textId="77777777" w:rsidTr="008C2069">
        <w:trPr>
          <w:trHeight w:val="510"/>
        </w:trPr>
        <w:tc>
          <w:tcPr>
            <w:cnfStyle w:val="001000000000" w:firstRow="0" w:lastRow="0" w:firstColumn="1" w:lastColumn="0" w:oddVBand="0" w:evenVBand="0" w:oddHBand="0" w:evenHBand="0" w:firstRowFirstColumn="0" w:firstRowLastColumn="0" w:lastRowFirstColumn="0" w:lastRowLastColumn="0"/>
            <w:tcW w:w="241" w:type="pct"/>
          </w:tcPr>
          <w:p w14:paraId="4EC7F1B2" w14:textId="77777777" w:rsidR="006961C9" w:rsidRPr="00574BC1" w:rsidRDefault="006961C9" w:rsidP="006961C9">
            <w:pPr>
              <w:pStyle w:val="ListParagraph"/>
              <w:numPr>
                <w:ilvl w:val="0"/>
                <w:numId w:val="4"/>
              </w:numPr>
              <w:spacing w:after="0" w:line="240" w:lineRule="auto"/>
              <w:ind w:left="566" w:hanging="540"/>
              <w:jc w:val="center"/>
              <w:rPr>
                <w:rFonts w:ascii="Times New Roman" w:eastAsia="Times New Roman" w:hAnsi="Times New Roman" w:cs="Times New Roman"/>
                <w:sz w:val="20"/>
                <w:lang w:eastAsia="en-IN"/>
              </w:rPr>
            </w:pPr>
          </w:p>
        </w:tc>
        <w:tc>
          <w:tcPr>
            <w:tcW w:w="464" w:type="pct"/>
          </w:tcPr>
          <w:p w14:paraId="679020D7" w14:textId="77777777" w:rsidR="006961C9" w:rsidRPr="006961C9"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6961C9">
              <w:rPr>
                <w:b/>
                <w:bCs/>
                <w:sz w:val="20"/>
                <w:lang w:eastAsia="en-IN"/>
              </w:rPr>
              <w:t>A</w:t>
            </w:r>
          </w:p>
        </w:tc>
        <w:tc>
          <w:tcPr>
            <w:tcW w:w="601" w:type="pct"/>
          </w:tcPr>
          <w:p w14:paraId="1F48B684"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Choco syrup</w:t>
            </w:r>
          </w:p>
        </w:tc>
        <w:tc>
          <w:tcPr>
            <w:tcW w:w="354" w:type="pct"/>
          </w:tcPr>
          <w:p w14:paraId="438EBAB2"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Liquid</w:t>
            </w:r>
          </w:p>
        </w:tc>
        <w:tc>
          <w:tcPr>
            <w:tcW w:w="624" w:type="pct"/>
          </w:tcPr>
          <w:p w14:paraId="559D2936"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1:1</w:t>
            </w:r>
          </w:p>
        </w:tc>
        <w:tc>
          <w:tcPr>
            <w:tcW w:w="401" w:type="pct"/>
          </w:tcPr>
          <w:p w14:paraId="0942E1B3"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Yellow</w:t>
            </w:r>
          </w:p>
        </w:tc>
        <w:tc>
          <w:tcPr>
            <w:tcW w:w="611" w:type="pct"/>
          </w:tcPr>
          <w:p w14:paraId="65D944C6" w14:textId="77777777" w:rsidR="006961C9" w:rsidRPr="00574BC1" w:rsidRDefault="006961C9" w:rsidP="00FD7E3D">
            <w:pPr>
              <w:tabs>
                <w:tab w:val="left" w:pos="1519"/>
              </w:tabs>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Sunflower shaped</w:t>
            </w:r>
          </w:p>
          <w:p w14:paraId="5B305B56"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p>
        </w:tc>
        <w:tc>
          <w:tcPr>
            <w:tcW w:w="678" w:type="pct"/>
          </w:tcPr>
          <w:p w14:paraId="692CD24C"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 xml:space="preserve">5-6 tubular </w:t>
            </w:r>
            <w:r w:rsidR="00FD7E3D">
              <w:rPr>
                <w:sz w:val="20"/>
                <w:lang w:eastAsia="en-IN"/>
              </w:rPr>
              <w:t>stellar</w:t>
            </w:r>
            <w:r w:rsidRPr="00574BC1">
              <w:rPr>
                <w:sz w:val="20"/>
                <w:lang w:eastAsia="en-IN"/>
              </w:rPr>
              <w:t xml:space="preserve"> structure</w:t>
            </w:r>
          </w:p>
        </w:tc>
        <w:tc>
          <w:tcPr>
            <w:tcW w:w="484" w:type="pct"/>
          </w:tcPr>
          <w:p w14:paraId="778CA890"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p>
        </w:tc>
        <w:tc>
          <w:tcPr>
            <w:tcW w:w="541" w:type="pct"/>
          </w:tcPr>
          <w:p w14:paraId="6A2B9F49"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r w:rsidR="00FD7E3D">
              <w:rPr>
                <w:sz w:val="20"/>
                <w:lang w:eastAsia="en-IN"/>
              </w:rPr>
              <w:t>+</w:t>
            </w:r>
          </w:p>
        </w:tc>
      </w:tr>
      <w:tr w:rsidR="006961C9" w:rsidRPr="00574BC1" w14:paraId="556883FD" w14:textId="77777777" w:rsidTr="008C2069">
        <w:trPr>
          <w:trHeight w:val="510"/>
        </w:trPr>
        <w:tc>
          <w:tcPr>
            <w:cnfStyle w:val="001000000000" w:firstRow="0" w:lastRow="0" w:firstColumn="1" w:lastColumn="0" w:oddVBand="0" w:evenVBand="0" w:oddHBand="0" w:evenHBand="0" w:firstRowFirstColumn="0" w:firstRowLastColumn="0" w:lastRowFirstColumn="0" w:lastRowLastColumn="0"/>
            <w:tcW w:w="241" w:type="pct"/>
          </w:tcPr>
          <w:p w14:paraId="2F493278" w14:textId="77777777" w:rsidR="006961C9" w:rsidRPr="00574BC1" w:rsidRDefault="006961C9" w:rsidP="006961C9">
            <w:pPr>
              <w:pStyle w:val="ListParagraph"/>
              <w:numPr>
                <w:ilvl w:val="0"/>
                <w:numId w:val="4"/>
              </w:numPr>
              <w:spacing w:after="0" w:line="240" w:lineRule="auto"/>
              <w:ind w:left="566" w:hanging="540"/>
              <w:jc w:val="center"/>
              <w:rPr>
                <w:rFonts w:ascii="Times New Roman" w:eastAsia="Times New Roman" w:hAnsi="Times New Roman" w:cs="Times New Roman"/>
                <w:sz w:val="20"/>
                <w:lang w:eastAsia="en-IN"/>
              </w:rPr>
            </w:pPr>
          </w:p>
        </w:tc>
        <w:tc>
          <w:tcPr>
            <w:tcW w:w="464" w:type="pct"/>
          </w:tcPr>
          <w:p w14:paraId="262201AF" w14:textId="77777777" w:rsidR="006961C9" w:rsidRPr="006961C9"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6961C9">
              <w:rPr>
                <w:b/>
                <w:bCs/>
                <w:sz w:val="20"/>
                <w:lang w:eastAsia="en-IN"/>
              </w:rPr>
              <w:t>B</w:t>
            </w:r>
          </w:p>
        </w:tc>
        <w:tc>
          <w:tcPr>
            <w:tcW w:w="601" w:type="pct"/>
          </w:tcPr>
          <w:p w14:paraId="01A7531F"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Cold coco</w:t>
            </w:r>
          </w:p>
        </w:tc>
        <w:tc>
          <w:tcPr>
            <w:tcW w:w="354" w:type="pct"/>
          </w:tcPr>
          <w:p w14:paraId="0B2C76C0"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Liquid</w:t>
            </w:r>
          </w:p>
        </w:tc>
        <w:tc>
          <w:tcPr>
            <w:tcW w:w="624" w:type="pct"/>
          </w:tcPr>
          <w:p w14:paraId="43D456DA"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1:1</w:t>
            </w:r>
          </w:p>
        </w:tc>
        <w:tc>
          <w:tcPr>
            <w:tcW w:w="401" w:type="pct"/>
          </w:tcPr>
          <w:p w14:paraId="4414C9E4" w14:textId="77777777" w:rsidR="006961C9" w:rsidRPr="00574BC1" w:rsidRDefault="00713A43"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Pr>
                <w:sz w:val="20"/>
                <w:lang w:eastAsia="en-IN"/>
              </w:rPr>
              <w:t>Brown</w:t>
            </w:r>
          </w:p>
        </w:tc>
        <w:tc>
          <w:tcPr>
            <w:tcW w:w="611" w:type="pct"/>
          </w:tcPr>
          <w:p w14:paraId="6C920625"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Long needle</w:t>
            </w:r>
          </w:p>
          <w:p w14:paraId="39029CDF"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Shaped</w:t>
            </w:r>
          </w:p>
        </w:tc>
        <w:tc>
          <w:tcPr>
            <w:tcW w:w="678" w:type="pct"/>
          </w:tcPr>
          <w:p w14:paraId="3448F25A"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 xml:space="preserve">5-6 tubular </w:t>
            </w:r>
            <w:r w:rsidR="00FD7E3D">
              <w:rPr>
                <w:sz w:val="20"/>
                <w:lang w:eastAsia="en-IN"/>
              </w:rPr>
              <w:t>stellar</w:t>
            </w:r>
            <w:r w:rsidRPr="00574BC1">
              <w:rPr>
                <w:sz w:val="20"/>
                <w:lang w:eastAsia="en-IN"/>
              </w:rPr>
              <w:t xml:space="preserve"> structure</w:t>
            </w:r>
          </w:p>
        </w:tc>
        <w:tc>
          <w:tcPr>
            <w:tcW w:w="484" w:type="pct"/>
          </w:tcPr>
          <w:p w14:paraId="6D862A47"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p>
        </w:tc>
        <w:tc>
          <w:tcPr>
            <w:tcW w:w="541" w:type="pct"/>
          </w:tcPr>
          <w:p w14:paraId="4F10DFDA"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r w:rsidR="00FD7E3D">
              <w:rPr>
                <w:sz w:val="20"/>
                <w:lang w:eastAsia="en-IN"/>
              </w:rPr>
              <w:t>+</w:t>
            </w:r>
          </w:p>
        </w:tc>
      </w:tr>
      <w:tr w:rsidR="006961C9" w:rsidRPr="00574BC1" w14:paraId="3CD34A5E" w14:textId="77777777" w:rsidTr="008C2069">
        <w:trPr>
          <w:trHeight w:val="510"/>
        </w:trPr>
        <w:tc>
          <w:tcPr>
            <w:cnfStyle w:val="001000000000" w:firstRow="0" w:lastRow="0" w:firstColumn="1" w:lastColumn="0" w:oddVBand="0" w:evenVBand="0" w:oddHBand="0" w:evenHBand="0" w:firstRowFirstColumn="0" w:firstRowLastColumn="0" w:lastRowFirstColumn="0" w:lastRowLastColumn="0"/>
            <w:tcW w:w="241" w:type="pct"/>
          </w:tcPr>
          <w:p w14:paraId="259C59ED" w14:textId="77777777" w:rsidR="006961C9" w:rsidRPr="00574BC1" w:rsidRDefault="006961C9" w:rsidP="006961C9">
            <w:pPr>
              <w:pStyle w:val="ListParagraph"/>
              <w:numPr>
                <w:ilvl w:val="0"/>
                <w:numId w:val="4"/>
              </w:numPr>
              <w:spacing w:after="0" w:line="240" w:lineRule="auto"/>
              <w:ind w:left="566" w:hanging="540"/>
              <w:jc w:val="center"/>
              <w:rPr>
                <w:rFonts w:ascii="Times New Roman" w:eastAsia="Times New Roman" w:hAnsi="Times New Roman" w:cs="Times New Roman"/>
                <w:sz w:val="20"/>
                <w:lang w:eastAsia="en-IN"/>
              </w:rPr>
            </w:pPr>
          </w:p>
        </w:tc>
        <w:tc>
          <w:tcPr>
            <w:tcW w:w="464" w:type="pct"/>
          </w:tcPr>
          <w:p w14:paraId="7A32AAD7" w14:textId="77777777" w:rsidR="006961C9" w:rsidRPr="006961C9"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6961C9">
              <w:rPr>
                <w:b/>
                <w:bCs/>
                <w:sz w:val="20"/>
                <w:lang w:eastAsia="en-IN"/>
              </w:rPr>
              <w:t>C</w:t>
            </w:r>
          </w:p>
        </w:tc>
        <w:tc>
          <w:tcPr>
            <w:tcW w:w="601" w:type="pct"/>
          </w:tcPr>
          <w:p w14:paraId="04D100D5"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Almond shake</w:t>
            </w:r>
          </w:p>
        </w:tc>
        <w:tc>
          <w:tcPr>
            <w:tcW w:w="354" w:type="pct"/>
          </w:tcPr>
          <w:p w14:paraId="61198F45"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Liquid</w:t>
            </w:r>
          </w:p>
        </w:tc>
        <w:tc>
          <w:tcPr>
            <w:tcW w:w="624" w:type="pct"/>
          </w:tcPr>
          <w:p w14:paraId="2C9A2422"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1:1</w:t>
            </w:r>
          </w:p>
        </w:tc>
        <w:tc>
          <w:tcPr>
            <w:tcW w:w="401" w:type="pct"/>
          </w:tcPr>
          <w:p w14:paraId="3068EC91"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Black</w:t>
            </w:r>
          </w:p>
        </w:tc>
        <w:tc>
          <w:tcPr>
            <w:tcW w:w="611" w:type="pct"/>
          </w:tcPr>
          <w:p w14:paraId="444843B4"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Asymmetric shaped</w:t>
            </w:r>
          </w:p>
        </w:tc>
        <w:tc>
          <w:tcPr>
            <w:tcW w:w="678" w:type="pct"/>
          </w:tcPr>
          <w:p w14:paraId="235A1FBE"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Asymmetrical shape</w:t>
            </w:r>
          </w:p>
        </w:tc>
        <w:tc>
          <w:tcPr>
            <w:tcW w:w="484" w:type="pct"/>
          </w:tcPr>
          <w:p w14:paraId="53807D36"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p>
        </w:tc>
        <w:tc>
          <w:tcPr>
            <w:tcW w:w="541" w:type="pct"/>
          </w:tcPr>
          <w:p w14:paraId="03505B82"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p>
        </w:tc>
      </w:tr>
      <w:tr w:rsidR="006961C9" w:rsidRPr="00574BC1" w14:paraId="38DFC225" w14:textId="77777777" w:rsidTr="008C2069">
        <w:trPr>
          <w:trHeight w:val="510"/>
        </w:trPr>
        <w:tc>
          <w:tcPr>
            <w:cnfStyle w:val="001000000000" w:firstRow="0" w:lastRow="0" w:firstColumn="1" w:lastColumn="0" w:oddVBand="0" w:evenVBand="0" w:oddHBand="0" w:evenHBand="0" w:firstRowFirstColumn="0" w:firstRowLastColumn="0" w:lastRowFirstColumn="0" w:lastRowLastColumn="0"/>
            <w:tcW w:w="241" w:type="pct"/>
          </w:tcPr>
          <w:p w14:paraId="10D8BE36" w14:textId="77777777" w:rsidR="006961C9" w:rsidRPr="00574BC1" w:rsidRDefault="006961C9" w:rsidP="006961C9">
            <w:pPr>
              <w:pStyle w:val="ListParagraph"/>
              <w:numPr>
                <w:ilvl w:val="0"/>
                <w:numId w:val="4"/>
              </w:numPr>
              <w:spacing w:after="0" w:line="240" w:lineRule="auto"/>
              <w:ind w:left="566" w:hanging="540"/>
              <w:jc w:val="center"/>
              <w:rPr>
                <w:rFonts w:ascii="Times New Roman" w:eastAsia="Times New Roman" w:hAnsi="Times New Roman" w:cs="Times New Roman"/>
                <w:sz w:val="20"/>
                <w:lang w:eastAsia="en-IN"/>
              </w:rPr>
            </w:pPr>
          </w:p>
        </w:tc>
        <w:tc>
          <w:tcPr>
            <w:tcW w:w="464" w:type="pct"/>
          </w:tcPr>
          <w:p w14:paraId="6605E1BA" w14:textId="77777777" w:rsidR="006961C9" w:rsidRPr="006961C9"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6961C9">
              <w:rPr>
                <w:b/>
                <w:bCs/>
                <w:sz w:val="20"/>
                <w:lang w:eastAsia="en-IN"/>
              </w:rPr>
              <w:t>D</w:t>
            </w:r>
          </w:p>
        </w:tc>
        <w:tc>
          <w:tcPr>
            <w:tcW w:w="601" w:type="pct"/>
          </w:tcPr>
          <w:p w14:paraId="0AB17AAF"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Cold coffee</w:t>
            </w:r>
          </w:p>
        </w:tc>
        <w:tc>
          <w:tcPr>
            <w:tcW w:w="354" w:type="pct"/>
          </w:tcPr>
          <w:p w14:paraId="55BC4472"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Solid</w:t>
            </w:r>
          </w:p>
        </w:tc>
        <w:tc>
          <w:tcPr>
            <w:tcW w:w="624" w:type="pct"/>
          </w:tcPr>
          <w:p w14:paraId="329A9E16"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1:10</w:t>
            </w:r>
          </w:p>
        </w:tc>
        <w:tc>
          <w:tcPr>
            <w:tcW w:w="401" w:type="pct"/>
          </w:tcPr>
          <w:p w14:paraId="70AF6F35"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Peach yellow</w:t>
            </w:r>
          </w:p>
        </w:tc>
        <w:tc>
          <w:tcPr>
            <w:tcW w:w="611" w:type="pct"/>
          </w:tcPr>
          <w:p w14:paraId="154A2D75"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Sunflower shaped</w:t>
            </w:r>
          </w:p>
          <w:p w14:paraId="59BE95E1"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p>
        </w:tc>
        <w:tc>
          <w:tcPr>
            <w:tcW w:w="678" w:type="pct"/>
          </w:tcPr>
          <w:p w14:paraId="7F88B14D"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Fern like</w:t>
            </w:r>
          </w:p>
          <w:p w14:paraId="3A06CBA3"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Dendrites</w:t>
            </w:r>
          </w:p>
        </w:tc>
        <w:tc>
          <w:tcPr>
            <w:tcW w:w="484" w:type="pct"/>
          </w:tcPr>
          <w:p w14:paraId="31BEFF03"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p>
        </w:tc>
        <w:tc>
          <w:tcPr>
            <w:tcW w:w="541" w:type="pct"/>
          </w:tcPr>
          <w:p w14:paraId="0749E4EB"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p>
        </w:tc>
      </w:tr>
      <w:tr w:rsidR="006961C9" w:rsidRPr="00574BC1" w14:paraId="59FA9861" w14:textId="77777777" w:rsidTr="008C2069">
        <w:trPr>
          <w:trHeight w:val="510"/>
        </w:trPr>
        <w:tc>
          <w:tcPr>
            <w:cnfStyle w:val="001000000000" w:firstRow="0" w:lastRow="0" w:firstColumn="1" w:lastColumn="0" w:oddVBand="0" w:evenVBand="0" w:oddHBand="0" w:evenHBand="0" w:firstRowFirstColumn="0" w:firstRowLastColumn="0" w:lastRowFirstColumn="0" w:lastRowLastColumn="0"/>
            <w:tcW w:w="241" w:type="pct"/>
          </w:tcPr>
          <w:p w14:paraId="7B27D6CF" w14:textId="77777777" w:rsidR="006961C9" w:rsidRPr="00574BC1" w:rsidRDefault="006961C9" w:rsidP="006961C9">
            <w:pPr>
              <w:pStyle w:val="ListParagraph"/>
              <w:numPr>
                <w:ilvl w:val="0"/>
                <w:numId w:val="4"/>
              </w:numPr>
              <w:spacing w:after="0" w:line="240" w:lineRule="auto"/>
              <w:ind w:left="566" w:hanging="540"/>
              <w:jc w:val="center"/>
              <w:rPr>
                <w:rFonts w:ascii="Times New Roman" w:eastAsia="Times New Roman" w:hAnsi="Times New Roman" w:cs="Times New Roman"/>
                <w:sz w:val="20"/>
                <w:lang w:eastAsia="en-IN"/>
              </w:rPr>
            </w:pPr>
          </w:p>
        </w:tc>
        <w:tc>
          <w:tcPr>
            <w:tcW w:w="464" w:type="pct"/>
          </w:tcPr>
          <w:p w14:paraId="4268CD71" w14:textId="77777777" w:rsidR="006961C9" w:rsidRPr="006961C9"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6961C9">
              <w:rPr>
                <w:b/>
                <w:bCs/>
                <w:sz w:val="20"/>
                <w:lang w:eastAsia="en-IN"/>
              </w:rPr>
              <w:t>E</w:t>
            </w:r>
          </w:p>
        </w:tc>
        <w:tc>
          <w:tcPr>
            <w:tcW w:w="601" w:type="pct"/>
          </w:tcPr>
          <w:p w14:paraId="499E46D6"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Coco powder</w:t>
            </w:r>
          </w:p>
        </w:tc>
        <w:tc>
          <w:tcPr>
            <w:tcW w:w="354" w:type="pct"/>
          </w:tcPr>
          <w:p w14:paraId="581050F7"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Solid</w:t>
            </w:r>
          </w:p>
        </w:tc>
        <w:tc>
          <w:tcPr>
            <w:tcW w:w="624" w:type="pct"/>
          </w:tcPr>
          <w:p w14:paraId="04FEE9AD"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1:10</w:t>
            </w:r>
          </w:p>
        </w:tc>
        <w:tc>
          <w:tcPr>
            <w:tcW w:w="401" w:type="pct"/>
          </w:tcPr>
          <w:p w14:paraId="42575270" w14:textId="77777777" w:rsidR="006961C9" w:rsidRPr="00574BC1" w:rsidRDefault="00713A43"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Pr>
                <w:sz w:val="20"/>
                <w:lang w:eastAsia="en-IN"/>
              </w:rPr>
              <w:t>Brown</w:t>
            </w:r>
          </w:p>
        </w:tc>
        <w:tc>
          <w:tcPr>
            <w:tcW w:w="611" w:type="pct"/>
          </w:tcPr>
          <w:p w14:paraId="2B025C32"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Sunflower shaped</w:t>
            </w:r>
          </w:p>
          <w:p w14:paraId="1497A4E9"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p>
        </w:tc>
        <w:tc>
          <w:tcPr>
            <w:tcW w:w="678" w:type="pct"/>
          </w:tcPr>
          <w:p w14:paraId="189E41B5" w14:textId="77777777" w:rsidR="006961C9" w:rsidRPr="00574BC1" w:rsidRDefault="00FD7E3D"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Pr>
                <w:sz w:val="20"/>
                <w:lang w:eastAsia="en-IN"/>
              </w:rPr>
              <w:t xml:space="preserve">2-3 tubular </w:t>
            </w:r>
            <w:r w:rsidR="006961C9" w:rsidRPr="00574BC1">
              <w:rPr>
                <w:sz w:val="20"/>
                <w:lang w:eastAsia="en-IN"/>
              </w:rPr>
              <w:t>Stellar crystals</w:t>
            </w:r>
          </w:p>
        </w:tc>
        <w:tc>
          <w:tcPr>
            <w:tcW w:w="484" w:type="pct"/>
          </w:tcPr>
          <w:p w14:paraId="0A4B860A"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p>
        </w:tc>
        <w:tc>
          <w:tcPr>
            <w:tcW w:w="541" w:type="pct"/>
          </w:tcPr>
          <w:p w14:paraId="0E61D37A"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p>
        </w:tc>
      </w:tr>
    </w:tbl>
    <w:p w14:paraId="7DB4AFC1" w14:textId="77777777" w:rsidR="006961C9" w:rsidRDefault="006961C9" w:rsidP="006961C9">
      <w:pPr>
        <w:jc w:val="center"/>
        <w:rPr>
          <w:sz w:val="20"/>
          <w:lang w:eastAsia="en-IN"/>
        </w:rPr>
      </w:pPr>
    </w:p>
    <w:p w14:paraId="17C77C3F" w14:textId="77777777" w:rsidR="006961C9" w:rsidRPr="001322AF" w:rsidRDefault="006961C9" w:rsidP="006961C9">
      <w:pPr>
        <w:jc w:val="center"/>
        <w:rPr>
          <w:sz w:val="22"/>
          <w:szCs w:val="28"/>
          <w:lang w:eastAsia="en-IN"/>
        </w:rPr>
      </w:pPr>
      <w:r w:rsidRPr="001322AF">
        <w:rPr>
          <w:sz w:val="22"/>
          <w:szCs w:val="28"/>
          <w:lang w:eastAsia="en-IN"/>
        </w:rPr>
        <w:t>{</w:t>
      </w:r>
      <w:r w:rsidRPr="001322AF">
        <w:rPr>
          <w:b/>
          <w:bCs/>
          <w:sz w:val="22"/>
          <w:szCs w:val="28"/>
          <w:lang w:eastAsia="en-IN"/>
        </w:rPr>
        <w:t>Note:</w:t>
      </w:r>
      <w:r w:rsidRPr="001322AF">
        <w:rPr>
          <w:sz w:val="22"/>
          <w:szCs w:val="28"/>
          <w:lang w:eastAsia="en-IN"/>
        </w:rPr>
        <w:t xml:space="preserve"> *Dilution factor (Product:</w:t>
      </w:r>
      <w:r w:rsidRPr="001322AF">
        <w:rPr>
          <w:b/>
          <w:bCs/>
          <w:sz w:val="22"/>
          <w:szCs w:val="28"/>
          <w:lang w:eastAsia="en-IN"/>
        </w:rPr>
        <w:t xml:space="preserve"> </w:t>
      </w:r>
      <w:r w:rsidRPr="001322AF">
        <w:rPr>
          <w:sz w:val="22"/>
          <w:szCs w:val="28"/>
          <w:lang w:eastAsia="en-IN"/>
        </w:rPr>
        <w:t>Distilled Water); Inference- + (</w:t>
      </w:r>
      <w:proofErr w:type="spellStart"/>
      <w:r w:rsidRPr="001322AF">
        <w:rPr>
          <w:sz w:val="22"/>
          <w:szCs w:val="28"/>
          <w:lang w:eastAsia="en-IN"/>
        </w:rPr>
        <w:t>matlosazone</w:t>
      </w:r>
      <w:proofErr w:type="spellEnd"/>
      <w:r w:rsidRPr="001322AF">
        <w:rPr>
          <w:sz w:val="22"/>
          <w:szCs w:val="28"/>
          <w:lang w:eastAsia="en-IN"/>
        </w:rPr>
        <w:t xml:space="preserve"> confirmed), - (</w:t>
      </w:r>
      <w:proofErr w:type="spellStart"/>
      <w:r w:rsidRPr="001322AF">
        <w:rPr>
          <w:sz w:val="22"/>
          <w:szCs w:val="28"/>
          <w:lang w:eastAsia="en-IN"/>
        </w:rPr>
        <w:t>matlosazone</w:t>
      </w:r>
      <w:proofErr w:type="spellEnd"/>
      <w:r w:rsidRPr="001322AF">
        <w:rPr>
          <w:sz w:val="22"/>
          <w:szCs w:val="28"/>
          <w:lang w:eastAsia="en-IN"/>
        </w:rPr>
        <w:t xml:space="preserve"> absent); Crystal Intensity- + (less dense crystals), ++ (more dense crystals), +++ (highest dense crystals)}</w:t>
      </w:r>
    </w:p>
    <w:p w14:paraId="5AF63D8C" w14:textId="77777777" w:rsidR="006961C9" w:rsidRDefault="006961C9" w:rsidP="006B3024">
      <w:pPr>
        <w:spacing w:line="360" w:lineRule="auto"/>
        <w:jc w:val="both"/>
        <w:rPr>
          <w:b/>
          <w:bCs/>
          <w:lang w:val="en-IN" w:eastAsia="en-IN" w:bidi="mr-IN"/>
        </w:rPr>
      </w:pPr>
    </w:p>
    <w:p w14:paraId="33A41AB2" w14:textId="77777777" w:rsidR="00E43CEC" w:rsidRPr="002D1A09" w:rsidRDefault="00E43CEC" w:rsidP="006B3024">
      <w:pPr>
        <w:spacing w:line="360" w:lineRule="auto"/>
        <w:jc w:val="both"/>
        <w:rPr>
          <w:b/>
          <w:bCs/>
          <w:lang w:val="en-IN" w:eastAsia="en-IN" w:bidi="mr-IN"/>
        </w:rPr>
      </w:pPr>
    </w:p>
    <w:p w14:paraId="39A0FBA7" w14:textId="77777777" w:rsidR="008D0919" w:rsidRDefault="008D0919" w:rsidP="00C540DC">
      <w:pPr>
        <w:spacing w:line="360" w:lineRule="auto"/>
        <w:jc w:val="both"/>
        <w:rPr>
          <w:b/>
          <w:bCs/>
          <w:lang w:eastAsia="en-IN"/>
        </w:rPr>
      </w:pPr>
    </w:p>
    <w:p w14:paraId="6FE2F91A" w14:textId="77777777" w:rsidR="008D5A97" w:rsidRDefault="008D5A97" w:rsidP="008D5A97">
      <w:pPr>
        <w:spacing w:line="360" w:lineRule="auto"/>
        <w:jc w:val="center"/>
        <w:rPr>
          <w:b/>
          <w:bCs/>
          <w:color w:val="000000"/>
        </w:rPr>
      </w:pPr>
    </w:p>
    <w:p w14:paraId="717B4690" w14:textId="77777777" w:rsidR="008D5A97" w:rsidRDefault="008D0919" w:rsidP="008D5A97">
      <w:pPr>
        <w:spacing w:line="360" w:lineRule="auto"/>
        <w:jc w:val="center"/>
        <w:rPr>
          <w:b/>
          <w:bCs/>
          <w:color w:val="000000"/>
        </w:rPr>
      </w:pPr>
      <w:r>
        <w:rPr>
          <w:b/>
          <w:bCs/>
          <w:noProof/>
          <w:color w:val="000000"/>
          <w:lang w:val="en-IN" w:eastAsia="en-IN" w:bidi="mr-IN"/>
        </w:rPr>
        <w:lastRenderedPageBreak/>
        <w:drawing>
          <wp:inline distT="0" distB="0" distL="0" distR="0" wp14:anchorId="47FC9E97" wp14:editId="415CEACF">
            <wp:extent cx="5568777" cy="39953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rotWithShape="1">
                    <a:blip r:embed="rId10">
                      <a:extLst>
                        <a:ext uri="{28A0092B-C50C-407E-A947-70E740481C1C}">
                          <a14:useLocalDpi xmlns:a14="http://schemas.microsoft.com/office/drawing/2010/main" val="0"/>
                        </a:ext>
                      </a:extLst>
                    </a:blip>
                    <a:srcRect l="3882" t="2958" r="2403" b="7393"/>
                    <a:stretch/>
                  </pic:blipFill>
                  <pic:spPr bwMode="auto">
                    <a:xfrm>
                      <a:off x="0" y="0"/>
                      <a:ext cx="5568777" cy="3995352"/>
                    </a:xfrm>
                    <a:prstGeom prst="rect">
                      <a:avLst/>
                    </a:prstGeom>
                    <a:ln>
                      <a:noFill/>
                    </a:ln>
                    <a:extLst>
                      <a:ext uri="{53640926-AAD7-44D8-BBD7-CCE9431645EC}">
                        <a14:shadowObscured xmlns:a14="http://schemas.microsoft.com/office/drawing/2010/main"/>
                      </a:ext>
                    </a:extLst>
                  </pic:spPr>
                </pic:pic>
              </a:graphicData>
            </a:graphic>
          </wp:inline>
        </w:drawing>
      </w:r>
    </w:p>
    <w:p w14:paraId="214F06B7" w14:textId="77777777" w:rsidR="008D5A97" w:rsidRPr="008D5A97" w:rsidRDefault="008D5A97" w:rsidP="008D5A97"/>
    <w:p w14:paraId="6FC14C74" w14:textId="77777777" w:rsidR="008D5A97" w:rsidRDefault="008D5A97" w:rsidP="008D5A97"/>
    <w:p w14:paraId="659F0443" w14:textId="77777777" w:rsidR="008D5A97" w:rsidRDefault="00513BEC" w:rsidP="008D5A97">
      <w:pPr>
        <w:spacing w:line="360" w:lineRule="auto"/>
        <w:jc w:val="both"/>
        <w:rPr>
          <w:b/>
          <w:bCs/>
          <w:lang w:eastAsia="en-IN"/>
        </w:rPr>
      </w:pPr>
      <w:r>
        <w:rPr>
          <w:b/>
          <w:bCs/>
          <w:color w:val="000000"/>
        </w:rPr>
        <w:t>Figure 2</w:t>
      </w:r>
      <w:r w:rsidR="008D5A97" w:rsidRPr="009B44C3">
        <w:rPr>
          <w:b/>
          <w:bCs/>
          <w:color w:val="000000"/>
        </w:rPr>
        <w:t xml:space="preserve">: </w:t>
      </w:r>
      <w:r w:rsidR="008D5A97" w:rsidRPr="009B44C3">
        <w:rPr>
          <w:b/>
          <w:bCs/>
          <w:lang w:eastAsia="en-IN"/>
        </w:rPr>
        <w:t xml:space="preserve">Microscopic observations of </w:t>
      </w:r>
      <w:proofErr w:type="spellStart"/>
      <w:r w:rsidR="008D5A97" w:rsidRPr="009B44C3">
        <w:rPr>
          <w:b/>
          <w:bCs/>
          <w:lang w:eastAsia="en-IN"/>
        </w:rPr>
        <w:t>Maltosazone</w:t>
      </w:r>
      <w:proofErr w:type="spellEnd"/>
      <w:r w:rsidR="008D5A97" w:rsidRPr="009B44C3">
        <w:rPr>
          <w:b/>
          <w:bCs/>
          <w:lang w:eastAsia="en-IN"/>
        </w:rPr>
        <w:t xml:space="preserve"> crystals in different food products</w:t>
      </w:r>
    </w:p>
    <w:p w14:paraId="20735D93" w14:textId="77777777" w:rsidR="000A13D4" w:rsidRPr="001322AF" w:rsidRDefault="000A13D4" w:rsidP="000A13D4">
      <w:pPr>
        <w:jc w:val="center"/>
        <w:rPr>
          <w:sz w:val="22"/>
          <w:szCs w:val="28"/>
          <w:lang w:eastAsia="en-IN"/>
        </w:rPr>
      </w:pPr>
      <w:r w:rsidRPr="001322AF">
        <w:rPr>
          <w:sz w:val="22"/>
          <w:szCs w:val="28"/>
          <w:lang w:eastAsia="en-IN"/>
        </w:rPr>
        <w:t>{</w:t>
      </w:r>
      <w:r w:rsidRPr="001322AF">
        <w:rPr>
          <w:b/>
          <w:bCs/>
          <w:sz w:val="22"/>
          <w:szCs w:val="28"/>
          <w:lang w:eastAsia="en-IN"/>
        </w:rPr>
        <w:t>Note</w:t>
      </w:r>
      <w:r w:rsidR="00713A43">
        <w:rPr>
          <w:b/>
          <w:bCs/>
          <w:sz w:val="22"/>
          <w:szCs w:val="28"/>
          <w:lang w:eastAsia="en-IN"/>
        </w:rPr>
        <w:t xml:space="preserve">: </w:t>
      </w:r>
      <w:proofErr w:type="spellStart"/>
      <w:r w:rsidR="00713A43" w:rsidRPr="00713A43">
        <w:rPr>
          <w:b/>
          <w:bCs/>
          <w:i/>
          <w:iCs/>
          <w:sz w:val="22"/>
          <w:szCs w:val="28"/>
          <w:lang w:eastAsia="en-IN"/>
        </w:rPr>
        <w:t>Maltosazone</w:t>
      </w:r>
      <w:proofErr w:type="spellEnd"/>
      <w:r w:rsidR="00713A43" w:rsidRPr="00713A43">
        <w:rPr>
          <w:b/>
          <w:bCs/>
          <w:i/>
          <w:iCs/>
          <w:sz w:val="22"/>
          <w:szCs w:val="28"/>
          <w:lang w:eastAsia="en-IN"/>
        </w:rPr>
        <w:t xml:space="preserve"> crystals observed in;</w:t>
      </w:r>
      <w:r w:rsidRPr="001322AF">
        <w:rPr>
          <w:sz w:val="22"/>
          <w:szCs w:val="28"/>
          <w:lang w:eastAsia="en-IN"/>
        </w:rPr>
        <w:t xml:space="preserve"> </w:t>
      </w:r>
      <w:r w:rsidR="00713A43">
        <w:rPr>
          <w:sz w:val="22"/>
          <w:szCs w:val="28"/>
          <w:lang w:eastAsia="en-IN"/>
        </w:rPr>
        <w:t xml:space="preserve">A: </w:t>
      </w:r>
      <w:r w:rsidR="00713A43" w:rsidRPr="00574BC1">
        <w:rPr>
          <w:sz w:val="20"/>
          <w:lang w:eastAsia="en-IN"/>
        </w:rPr>
        <w:t>Choco syrup</w:t>
      </w:r>
      <w:r w:rsidR="00713A43">
        <w:rPr>
          <w:sz w:val="22"/>
          <w:szCs w:val="28"/>
          <w:lang w:eastAsia="en-IN"/>
        </w:rPr>
        <w:t xml:space="preserve">, B: </w:t>
      </w:r>
      <w:r w:rsidR="00713A43" w:rsidRPr="00574BC1">
        <w:rPr>
          <w:sz w:val="20"/>
          <w:lang w:eastAsia="en-IN"/>
        </w:rPr>
        <w:t>Cold coco</w:t>
      </w:r>
      <w:r w:rsidR="00713A43">
        <w:rPr>
          <w:sz w:val="20"/>
          <w:lang w:eastAsia="en-IN"/>
        </w:rPr>
        <w:t>, C:</w:t>
      </w:r>
      <w:r w:rsidR="00713A43">
        <w:rPr>
          <w:sz w:val="22"/>
          <w:szCs w:val="28"/>
          <w:lang w:eastAsia="en-IN"/>
        </w:rPr>
        <w:t xml:space="preserve"> </w:t>
      </w:r>
      <w:r w:rsidR="00713A43" w:rsidRPr="00574BC1">
        <w:rPr>
          <w:sz w:val="20"/>
          <w:lang w:eastAsia="en-IN"/>
        </w:rPr>
        <w:t>Almond shake</w:t>
      </w:r>
      <w:r w:rsidR="00713A43">
        <w:rPr>
          <w:sz w:val="22"/>
          <w:szCs w:val="28"/>
          <w:lang w:eastAsia="en-IN"/>
        </w:rPr>
        <w:t>, D:</w:t>
      </w:r>
      <w:r w:rsidR="00713A43" w:rsidRPr="00713A43">
        <w:rPr>
          <w:sz w:val="20"/>
          <w:lang w:eastAsia="en-IN"/>
        </w:rPr>
        <w:t xml:space="preserve"> </w:t>
      </w:r>
      <w:r w:rsidR="00713A43" w:rsidRPr="00574BC1">
        <w:rPr>
          <w:sz w:val="20"/>
          <w:lang w:eastAsia="en-IN"/>
        </w:rPr>
        <w:t>Cold coffee</w:t>
      </w:r>
      <w:r w:rsidR="00713A43">
        <w:rPr>
          <w:sz w:val="22"/>
          <w:szCs w:val="28"/>
          <w:lang w:eastAsia="en-IN"/>
        </w:rPr>
        <w:t>, E:</w:t>
      </w:r>
      <w:r w:rsidR="00713A43" w:rsidRPr="00713A43">
        <w:rPr>
          <w:sz w:val="20"/>
          <w:lang w:eastAsia="en-IN"/>
        </w:rPr>
        <w:t xml:space="preserve"> </w:t>
      </w:r>
      <w:r w:rsidR="00713A43" w:rsidRPr="00574BC1">
        <w:rPr>
          <w:sz w:val="20"/>
          <w:lang w:eastAsia="en-IN"/>
        </w:rPr>
        <w:t>Coco powder</w:t>
      </w:r>
      <w:r w:rsidRPr="001322AF">
        <w:rPr>
          <w:sz w:val="22"/>
          <w:szCs w:val="28"/>
          <w:lang w:eastAsia="en-IN"/>
        </w:rPr>
        <w:t>}</w:t>
      </w:r>
    </w:p>
    <w:p w14:paraId="04D9A513" w14:textId="77777777" w:rsidR="000A13D4" w:rsidRDefault="000A13D4" w:rsidP="008D5A97">
      <w:pPr>
        <w:spacing w:line="360" w:lineRule="auto"/>
        <w:jc w:val="both"/>
        <w:rPr>
          <w:b/>
          <w:bCs/>
          <w:lang w:eastAsia="en-IN"/>
        </w:rPr>
      </w:pPr>
    </w:p>
    <w:p w14:paraId="2C9E871F" w14:textId="77777777" w:rsidR="008D0919" w:rsidRPr="008D5A97" w:rsidRDefault="008D0919" w:rsidP="008D5A97"/>
    <w:p w14:paraId="2BCAD12A" w14:textId="77777777" w:rsidR="0015093A" w:rsidRPr="008E579E" w:rsidRDefault="0015093A" w:rsidP="0015093A">
      <w:pPr>
        <w:spacing w:before="100" w:beforeAutospacing="1" w:after="100" w:afterAutospacing="1" w:line="360" w:lineRule="auto"/>
        <w:jc w:val="both"/>
        <w:rPr>
          <w:lang w:eastAsia="en-IN"/>
        </w:rPr>
      </w:pPr>
      <w:r w:rsidRPr="008E579E">
        <w:rPr>
          <w:lang w:eastAsia="en-IN"/>
        </w:rPr>
        <w:t xml:space="preserve">Significant variations in crystal formation were observed across </w:t>
      </w:r>
      <w:r>
        <w:rPr>
          <w:lang w:eastAsia="en-IN"/>
        </w:rPr>
        <w:t xml:space="preserve">the different food products analyzed in this study. Despite being categorized into liquid and solid forms, all the products consistently exhibited sunflower-shaped </w:t>
      </w:r>
      <w:proofErr w:type="spellStart"/>
      <w:r w:rsidRPr="008E579E">
        <w:rPr>
          <w:lang w:eastAsia="en-IN"/>
        </w:rPr>
        <w:t>maltosazone</w:t>
      </w:r>
      <w:proofErr w:type="spellEnd"/>
      <w:r w:rsidRPr="008E579E">
        <w:rPr>
          <w:lang w:eastAsia="en-IN"/>
        </w:rPr>
        <w:t xml:space="preserve"> crystals. However, the color of the crystals varied among the samples. Choco syrup formed yellow-colored crystals, cold coco produced brown crystals, almond shake yielded black crystals, cold coffee produced peach-colored crystals, and cocoa powder generated brown-colored crystals. These color variations are likely attributable to inherent differences in the color of the food products themselves.</w:t>
      </w:r>
    </w:p>
    <w:p w14:paraId="63AB591A" w14:textId="77777777" w:rsidR="0015093A" w:rsidRPr="008E579E" w:rsidRDefault="0015093A" w:rsidP="0015093A">
      <w:pPr>
        <w:spacing w:before="100" w:beforeAutospacing="1" w:after="100" w:afterAutospacing="1" w:line="360" w:lineRule="auto"/>
        <w:jc w:val="both"/>
        <w:rPr>
          <w:lang w:eastAsia="en-IN"/>
        </w:rPr>
      </w:pPr>
      <w:r w:rsidRPr="008E579E">
        <w:rPr>
          <w:lang w:eastAsia="en-IN"/>
        </w:rPr>
        <w:t xml:space="preserve">Notable differences were also observed in the intensity of </w:t>
      </w:r>
      <w:r>
        <w:rPr>
          <w:lang w:eastAsia="en-IN"/>
        </w:rPr>
        <w:t xml:space="preserve">the crystal formation. The highest intensity was recorded </w:t>
      </w:r>
      <w:r w:rsidRPr="008E579E">
        <w:rPr>
          <w:lang w:eastAsia="en-IN"/>
        </w:rPr>
        <w:t xml:space="preserve">for cold coco, followed by </w:t>
      </w:r>
      <w:proofErr w:type="spellStart"/>
      <w:r w:rsidRPr="008E579E">
        <w:rPr>
          <w:lang w:eastAsia="en-IN"/>
        </w:rPr>
        <w:t>choco</w:t>
      </w:r>
      <w:proofErr w:type="spellEnd"/>
      <w:r w:rsidRPr="008E579E">
        <w:rPr>
          <w:lang w:eastAsia="en-IN"/>
        </w:rPr>
        <w:t xml:space="preserve"> syrup, cold coffee, cocoa powder, and </w:t>
      </w:r>
      <w:r w:rsidRPr="008E579E">
        <w:rPr>
          <w:lang w:eastAsia="en-IN"/>
        </w:rPr>
        <w:lastRenderedPageBreak/>
        <w:t>almond shake. Crystals in almond shake</w:t>
      </w:r>
      <w:r>
        <w:rPr>
          <w:lang w:eastAsia="en-IN"/>
        </w:rPr>
        <w:t xml:space="preserve">s were less defined, </w:t>
      </w:r>
      <w:r w:rsidRPr="008E579E">
        <w:rPr>
          <w:lang w:eastAsia="en-IN"/>
        </w:rPr>
        <w:t>suggesting the possible absence of maltose in the sample.</w:t>
      </w:r>
    </w:p>
    <w:p w14:paraId="7781CD89" w14:textId="77777777" w:rsidR="0015093A" w:rsidRPr="008E579E" w:rsidRDefault="0015093A" w:rsidP="0015093A">
      <w:pPr>
        <w:spacing w:before="100" w:beforeAutospacing="1" w:after="100" w:afterAutospacing="1" w:line="360" w:lineRule="auto"/>
        <w:jc w:val="both"/>
        <w:rPr>
          <w:lang w:eastAsia="en-IN"/>
        </w:rPr>
      </w:pPr>
      <w:r w:rsidRPr="008E579E">
        <w:rPr>
          <w:lang w:eastAsia="en-IN"/>
        </w:rPr>
        <w:t xml:space="preserve">Variations in </w:t>
      </w:r>
      <w:r>
        <w:rPr>
          <w:lang w:eastAsia="en-IN"/>
        </w:rPr>
        <w:t xml:space="preserve">the crystal shapes were evident across the samples. In </w:t>
      </w:r>
      <w:proofErr w:type="spellStart"/>
      <w:r w:rsidRPr="008E579E">
        <w:rPr>
          <w:lang w:eastAsia="en-IN"/>
        </w:rPr>
        <w:t>choco</w:t>
      </w:r>
      <w:proofErr w:type="spellEnd"/>
      <w:r w:rsidRPr="008E579E">
        <w:rPr>
          <w:lang w:eastAsia="en-IN"/>
        </w:rPr>
        <w:t xml:space="preserve"> syrup and cold coco, 5–6 stellar-shaped crystals were identified, likely indicating the presence of maltose owing to their similar composition. In contrast, almond shake</w:t>
      </w:r>
      <w:r>
        <w:rPr>
          <w:lang w:eastAsia="en-IN"/>
        </w:rPr>
        <w:t xml:space="preserve">s exhibited asymmetric, undefined crystal structures, further supporting the absence of maltose in this product. Cold coffee showed clustered fern-like dendrites, </w:t>
      </w:r>
      <w:r w:rsidRPr="008E579E">
        <w:rPr>
          <w:lang w:eastAsia="en-IN"/>
        </w:rPr>
        <w:t xml:space="preserve">indicating the presence of maltose. The cocoa powder formed 2–3 tubular stellar crystals, </w:t>
      </w:r>
      <w:r>
        <w:rPr>
          <w:lang w:eastAsia="en-IN"/>
        </w:rPr>
        <w:t>which is also indicative of maltose.</w:t>
      </w:r>
    </w:p>
    <w:p w14:paraId="197C5FA6" w14:textId="77777777" w:rsidR="0015093A" w:rsidRDefault="0015093A" w:rsidP="0015093A">
      <w:pPr>
        <w:pStyle w:val="NormalWeb"/>
        <w:spacing w:line="360" w:lineRule="auto"/>
        <w:jc w:val="both"/>
      </w:pPr>
      <w:r w:rsidRPr="00B90062">
        <w:t xml:space="preserve">Sugars exhibit similar properties, rendering the differentiation of various carbohydrate members difficult. Consequently, </w:t>
      </w:r>
      <w:r>
        <w:t xml:space="preserve">microscopic examination of the </w:t>
      </w:r>
      <w:proofErr w:type="spellStart"/>
      <w:r w:rsidRPr="00B90062">
        <w:t>osazone</w:t>
      </w:r>
      <w:proofErr w:type="spellEnd"/>
      <w:r w:rsidRPr="00B90062">
        <w:t xml:space="preserve"> test revealed distinct crystalline structures </w:t>
      </w:r>
      <w:r>
        <w:t>[15]</w:t>
      </w:r>
      <w:r w:rsidRPr="00B90062">
        <w:t>. Acid hydrolysis of starchy products results in the formation of maltose crystals, demonstrating their extensive industrial applications</w:t>
      </w:r>
      <w:r>
        <w:t xml:space="preserve"> [16]</w:t>
      </w:r>
      <w:r w:rsidRPr="00B90062">
        <w:t xml:space="preserve">. The presence of maltose can also be detected effectively using </w:t>
      </w:r>
      <w:r>
        <w:t xml:space="preserve">the </w:t>
      </w:r>
      <w:proofErr w:type="spellStart"/>
      <w:r w:rsidRPr="00B90062">
        <w:t>osazone</w:t>
      </w:r>
      <w:proofErr w:type="spellEnd"/>
      <w:r w:rsidRPr="00B90062">
        <w:t xml:space="preserve"> technique in the presence of other sugars, such as dextrose </w:t>
      </w:r>
      <w:r>
        <w:t>[17]</w:t>
      </w:r>
      <w:r w:rsidRPr="00B90062">
        <w:t>. Research conducted by Percival and Percival (1937)</w:t>
      </w:r>
      <w:r>
        <w:t xml:space="preserve"> [18]</w:t>
      </w:r>
      <w:r w:rsidRPr="00B90062">
        <w:t xml:space="preserve"> demonstrated that crystalline </w:t>
      </w:r>
      <w:proofErr w:type="spellStart"/>
      <w:r w:rsidRPr="00B90062">
        <w:t>maltosazone</w:t>
      </w:r>
      <w:proofErr w:type="spellEnd"/>
      <w:r w:rsidRPr="00B90062">
        <w:t xml:space="preserve"> forms two distinct types of needles: elongated lemon-yellow needles and pointed yellow plates, which aligns with our observations. This technique also demonstrated applicability in the detection of sugar in urine for glycosuria and </w:t>
      </w:r>
      <w:proofErr w:type="spellStart"/>
      <w:r w:rsidRPr="00B90062">
        <w:t>maltosuria</w:t>
      </w:r>
      <w:proofErr w:type="spellEnd"/>
      <w:r>
        <w:t xml:space="preserve"> [19]</w:t>
      </w:r>
      <w:r w:rsidRPr="00B90062">
        <w:t>.</w:t>
      </w:r>
    </w:p>
    <w:p w14:paraId="17414417" w14:textId="05DA70F2" w:rsidR="00B564F5" w:rsidRPr="00201EBA" w:rsidRDefault="00B564F5" w:rsidP="00B564F5">
      <w:pPr>
        <w:spacing w:line="360" w:lineRule="auto"/>
        <w:jc w:val="both"/>
        <w:rPr>
          <w:color w:val="000000" w:themeColor="text1"/>
        </w:rPr>
      </w:pPr>
      <w:r w:rsidRPr="00B564F5">
        <w:rPr>
          <w:color w:val="000000" w:themeColor="text1"/>
          <w:highlight w:val="yellow"/>
        </w:rPr>
        <w:t>Interestingly, while HPLC generally offers superior sensitivity, some studies have found comparable results between HPLC and other methods. For example, a statistical analysis comparing HPLC with conventional volumetric, distillation, and enzymatic methods for wine and grape must analysis showed good agreement in accuracy and precision</w:t>
      </w:r>
      <w:r>
        <w:rPr>
          <w:color w:val="000000" w:themeColor="text1"/>
          <w:highlight w:val="yellow"/>
        </w:rPr>
        <w:t xml:space="preserve"> [20]</w:t>
      </w:r>
      <w:r w:rsidRPr="00B564F5">
        <w:rPr>
          <w:color w:val="000000" w:themeColor="text1"/>
          <w:highlight w:val="yellow"/>
        </w:rPr>
        <w:t xml:space="preserve">. This suggests that the choice of method may depend on specific application requirements and available </w:t>
      </w:r>
      <w:proofErr w:type="spellStart"/>
      <w:r w:rsidRPr="00B564F5">
        <w:rPr>
          <w:color w:val="000000" w:themeColor="text1"/>
          <w:highlight w:val="yellow"/>
        </w:rPr>
        <w:t>resources.In</w:t>
      </w:r>
      <w:proofErr w:type="spellEnd"/>
      <w:r w:rsidRPr="00B564F5">
        <w:rPr>
          <w:color w:val="000000" w:themeColor="text1"/>
          <w:highlight w:val="yellow"/>
        </w:rPr>
        <w:t xml:space="preserve"> terms of cost and speed, HPLC presents advantages over other techniques. HPLC methods often require minimal sample preparation, reducing overall analysis time and cost. However, it remains an expensive method to implement.</w:t>
      </w:r>
      <w:r w:rsidRPr="00201EBA">
        <w:rPr>
          <w:color w:val="000000" w:themeColor="text1"/>
        </w:rPr>
        <w:t xml:space="preserve"> </w:t>
      </w:r>
    </w:p>
    <w:p w14:paraId="0F0D9607" w14:textId="77777777" w:rsidR="00B564F5" w:rsidRPr="00B90062" w:rsidRDefault="00B564F5" w:rsidP="0015093A">
      <w:pPr>
        <w:pStyle w:val="NormalWeb"/>
        <w:spacing w:line="360" w:lineRule="auto"/>
        <w:jc w:val="both"/>
      </w:pPr>
    </w:p>
    <w:p w14:paraId="5909F8D9" w14:textId="230F370F" w:rsidR="0015093A" w:rsidRPr="00B90062" w:rsidRDefault="0015093A" w:rsidP="0015093A">
      <w:pPr>
        <w:pStyle w:val="NormalWeb"/>
        <w:spacing w:line="360" w:lineRule="auto"/>
        <w:jc w:val="both"/>
      </w:pPr>
      <w:proofErr w:type="spellStart"/>
      <w:r w:rsidRPr="00B90062">
        <w:t>Osazone</w:t>
      </w:r>
      <w:proofErr w:type="spellEnd"/>
      <w:r w:rsidRPr="00B90062">
        <w:t xml:space="preserve"> tests are potentially unreliable for </w:t>
      </w:r>
      <w:proofErr w:type="spellStart"/>
      <w:r w:rsidRPr="00B90062">
        <w:t>analyzing</w:t>
      </w:r>
      <w:proofErr w:type="spellEnd"/>
      <w:r w:rsidRPr="00B90062">
        <w:t xml:space="preserve"> mixtures of sugar samples, such as those found in plant cells. Additionally, these tests can result in various crystal aggregations owing to </w:t>
      </w:r>
      <w:r>
        <w:lastRenderedPageBreak/>
        <w:t>the combination</w:t>
      </w:r>
      <w:r w:rsidRPr="00B90062">
        <w:t xml:space="preserve"> of sugar crystals </w:t>
      </w:r>
      <w:r w:rsidR="00B564F5" w:rsidRPr="00992363">
        <w:rPr>
          <w:highlight w:val="yellow"/>
        </w:rPr>
        <w:t>[21</w:t>
      </w:r>
      <w:r w:rsidRPr="00992363">
        <w:rPr>
          <w:highlight w:val="yellow"/>
        </w:rPr>
        <w:t>].</w:t>
      </w:r>
      <w:bookmarkStart w:id="0" w:name="_GoBack"/>
      <w:bookmarkEnd w:id="0"/>
      <w:r w:rsidRPr="00B90062">
        <w:t xml:space="preserve"> Consequently, further research is recommended to investigate the complex crystal formation that occur</w:t>
      </w:r>
      <w:r>
        <w:t>s in such scenarios.</w:t>
      </w:r>
    </w:p>
    <w:p w14:paraId="179E2C30" w14:textId="77777777" w:rsidR="0015093A" w:rsidRPr="00B90062" w:rsidRDefault="0015093A" w:rsidP="0015093A">
      <w:pPr>
        <w:spacing w:before="100" w:beforeAutospacing="1" w:after="100" w:afterAutospacing="1" w:line="360" w:lineRule="auto"/>
        <w:jc w:val="both"/>
        <w:rPr>
          <w:lang w:eastAsia="en-IN"/>
        </w:rPr>
      </w:pPr>
      <w:r w:rsidRPr="008E579E">
        <w:rPr>
          <w:lang w:eastAsia="en-IN"/>
        </w:rPr>
        <w:t xml:space="preserve">These findings highlight the potential of </w:t>
      </w:r>
      <w:proofErr w:type="spellStart"/>
      <w:r w:rsidRPr="008E579E">
        <w:rPr>
          <w:lang w:eastAsia="en-IN"/>
        </w:rPr>
        <w:t>maltosazone</w:t>
      </w:r>
      <w:proofErr w:type="spellEnd"/>
      <w:r w:rsidRPr="008E579E">
        <w:rPr>
          <w:lang w:eastAsia="en-IN"/>
        </w:rPr>
        <w:t xml:space="preserve"> crystal morphology and color as qualitative indicators of maltose content in diverse food products.</w:t>
      </w:r>
    </w:p>
    <w:p w14:paraId="6C672825" w14:textId="77777777" w:rsidR="00CE5206" w:rsidRDefault="00CE5206" w:rsidP="00841925">
      <w:pPr>
        <w:spacing w:before="100" w:beforeAutospacing="1" w:after="100" w:afterAutospacing="1" w:line="360" w:lineRule="auto"/>
        <w:jc w:val="both"/>
        <w:rPr>
          <w:b/>
          <w:bCs/>
          <w:lang w:eastAsia="en-IN"/>
        </w:rPr>
      </w:pPr>
    </w:p>
    <w:p w14:paraId="2A11F419" w14:textId="77777777" w:rsidR="0015093A" w:rsidRDefault="0015093A" w:rsidP="00841925">
      <w:pPr>
        <w:spacing w:before="100" w:beforeAutospacing="1" w:after="100" w:afterAutospacing="1" w:line="360" w:lineRule="auto"/>
        <w:jc w:val="both"/>
        <w:rPr>
          <w:b/>
          <w:bCs/>
          <w:lang w:eastAsia="en-IN"/>
        </w:rPr>
      </w:pPr>
    </w:p>
    <w:p w14:paraId="0DCE2193" w14:textId="77777777" w:rsidR="0015093A" w:rsidRDefault="0015093A" w:rsidP="00841925">
      <w:pPr>
        <w:spacing w:before="100" w:beforeAutospacing="1" w:after="100" w:afterAutospacing="1" w:line="360" w:lineRule="auto"/>
        <w:jc w:val="both"/>
        <w:rPr>
          <w:b/>
          <w:bCs/>
          <w:lang w:eastAsia="en-IN"/>
        </w:rPr>
      </w:pPr>
    </w:p>
    <w:p w14:paraId="4C7BFAD8" w14:textId="77777777" w:rsidR="00841925" w:rsidRPr="00B90062" w:rsidRDefault="00841925" w:rsidP="00841925">
      <w:pPr>
        <w:spacing w:before="100" w:beforeAutospacing="1" w:after="100" w:afterAutospacing="1" w:line="360" w:lineRule="auto"/>
        <w:jc w:val="both"/>
        <w:rPr>
          <w:b/>
          <w:bCs/>
          <w:lang w:eastAsia="en-IN"/>
        </w:rPr>
      </w:pPr>
      <w:r w:rsidRPr="00B90062">
        <w:rPr>
          <w:b/>
          <w:bCs/>
          <w:lang w:eastAsia="en-IN"/>
        </w:rPr>
        <w:t>Conclusion:</w:t>
      </w:r>
    </w:p>
    <w:p w14:paraId="565D64CC" w14:textId="77777777" w:rsidR="0015093A" w:rsidRPr="00B90062" w:rsidRDefault="0015093A" w:rsidP="0015093A">
      <w:pPr>
        <w:spacing w:before="100" w:beforeAutospacing="1" w:after="100" w:afterAutospacing="1" w:line="360" w:lineRule="auto"/>
        <w:jc w:val="both"/>
        <w:rPr>
          <w:lang w:eastAsia="en-IN"/>
        </w:rPr>
      </w:pPr>
      <w:r w:rsidRPr="002B133D">
        <w:rPr>
          <w:lang w:eastAsia="en-IN"/>
        </w:rPr>
        <w:t xml:space="preserve">This study demonstrated significant variations in </w:t>
      </w:r>
      <w:proofErr w:type="spellStart"/>
      <w:r w:rsidRPr="002B133D">
        <w:rPr>
          <w:lang w:eastAsia="en-IN"/>
        </w:rPr>
        <w:t>maltosazone</w:t>
      </w:r>
      <w:proofErr w:type="spellEnd"/>
      <w:r w:rsidRPr="002B133D">
        <w:rPr>
          <w:lang w:eastAsia="en-IN"/>
        </w:rPr>
        <w:t xml:space="preserve"> crystal morphology, intensity, and coloration across different food products, reflecting their unique composition. While sunflower-shaped crystals are a common feature, differences in </w:t>
      </w:r>
      <w:r w:rsidRPr="00B90062">
        <w:rPr>
          <w:lang w:eastAsia="en-IN"/>
        </w:rPr>
        <w:t>color</w:t>
      </w:r>
      <w:r w:rsidRPr="002B133D">
        <w:rPr>
          <w:lang w:eastAsia="en-IN"/>
        </w:rPr>
        <w:t xml:space="preserve"> and structure </w:t>
      </w:r>
      <w:r w:rsidRPr="00B90062">
        <w:rPr>
          <w:lang w:eastAsia="en-IN"/>
        </w:rPr>
        <w:t xml:space="preserve">can </w:t>
      </w:r>
      <w:r>
        <w:rPr>
          <w:lang w:eastAsia="en-IN"/>
        </w:rPr>
        <w:t xml:space="preserve">be formed </w:t>
      </w:r>
      <w:r w:rsidRPr="00B90062">
        <w:rPr>
          <w:lang w:eastAsia="en-IN"/>
        </w:rPr>
        <w:t xml:space="preserve">owing to the nature </w:t>
      </w:r>
      <w:r>
        <w:rPr>
          <w:lang w:eastAsia="en-IN"/>
        </w:rPr>
        <w:t>of the product and other compositions</w:t>
      </w:r>
      <w:r w:rsidRPr="002B133D">
        <w:rPr>
          <w:lang w:eastAsia="en-IN"/>
        </w:rPr>
        <w:t xml:space="preserve">. Notably, cold coco and </w:t>
      </w:r>
      <w:proofErr w:type="spellStart"/>
      <w:r w:rsidRPr="002B133D">
        <w:rPr>
          <w:lang w:eastAsia="en-IN"/>
        </w:rPr>
        <w:t>choco</w:t>
      </w:r>
      <w:proofErr w:type="spellEnd"/>
      <w:r w:rsidRPr="002B133D">
        <w:rPr>
          <w:lang w:eastAsia="en-IN"/>
        </w:rPr>
        <w:t xml:space="preserve"> syrup exhibited the highest intensity and well-defined stellar crystals, confirming the presence of maltose, whereas </w:t>
      </w:r>
      <w:r>
        <w:rPr>
          <w:lang w:eastAsia="en-IN"/>
        </w:rPr>
        <w:t xml:space="preserve">the almond shake lacked definitive crystal structures, indicating its potential absence. The observed variations </w:t>
      </w:r>
      <w:r w:rsidRPr="00B90062">
        <w:rPr>
          <w:lang w:eastAsia="en-IN"/>
        </w:rPr>
        <w:t>highlight</w:t>
      </w:r>
      <w:r w:rsidRPr="002B133D">
        <w:rPr>
          <w:lang w:eastAsia="en-IN"/>
        </w:rPr>
        <w:t xml:space="preserve"> the utility of </w:t>
      </w:r>
      <w:proofErr w:type="spellStart"/>
      <w:r w:rsidRPr="002B133D">
        <w:rPr>
          <w:lang w:eastAsia="en-IN"/>
        </w:rPr>
        <w:t>maltosazone</w:t>
      </w:r>
      <w:proofErr w:type="spellEnd"/>
      <w:r w:rsidRPr="002B133D">
        <w:rPr>
          <w:lang w:eastAsia="en-IN"/>
        </w:rPr>
        <w:t xml:space="preserve"> crystal analysis as a simple and effective method for qualitative estimation of maltose in diverse food products, </w:t>
      </w:r>
      <w:r w:rsidRPr="00B90062">
        <w:rPr>
          <w:lang w:eastAsia="en-IN"/>
        </w:rPr>
        <w:t>highlighting</w:t>
      </w:r>
      <w:r w:rsidRPr="002B133D">
        <w:rPr>
          <w:lang w:eastAsia="en-IN"/>
        </w:rPr>
        <w:t xml:space="preserve"> the need for broader applications in food quality control and screening.</w:t>
      </w:r>
    </w:p>
    <w:p w14:paraId="3B33F9CE" w14:textId="77777777" w:rsidR="00605207" w:rsidRPr="00C56D3D" w:rsidRDefault="00605207" w:rsidP="00605207">
      <w:pPr>
        <w:spacing w:line="360" w:lineRule="auto"/>
        <w:jc w:val="both"/>
        <w:rPr>
          <w:b/>
          <w:bCs/>
          <w:szCs w:val="22"/>
        </w:rPr>
      </w:pPr>
      <w:r w:rsidRPr="00C56D3D">
        <w:rPr>
          <w:b/>
          <w:bCs/>
          <w:szCs w:val="22"/>
        </w:rPr>
        <w:t>Data Availability Statement</w:t>
      </w:r>
    </w:p>
    <w:p w14:paraId="540318B2" w14:textId="77777777" w:rsidR="00605207" w:rsidRDefault="00605207" w:rsidP="00605207">
      <w:pPr>
        <w:spacing w:line="360" w:lineRule="auto"/>
        <w:jc w:val="both"/>
        <w:rPr>
          <w:szCs w:val="22"/>
        </w:rPr>
      </w:pPr>
      <w:r w:rsidRPr="00C56D3D">
        <w:rPr>
          <w:szCs w:val="22"/>
        </w:rPr>
        <w:t xml:space="preserve">This </w:t>
      </w:r>
      <w:r w:rsidR="00D01F31">
        <w:rPr>
          <w:szCs w:val="22"/>
        </w:rPr>
        <w:t>research</w:t>
      </w:r>
      <w:r w:rsidRPr="00C56D3D">
        <w:rPr>
          <w:szCs w:val="22"/>
        </w:rPr>
        <w:t xml:space="preserve"> did not involve any data processing.</w:t>
      </w:r>
    </w:p>
    <w:p w14:paraId="7A4361A3" w14:textId="77777777" w:rsidR="00372279" w:rsidRDefault="00372279" w:rsidP="00605207">
      <w:pPr>
        <w:spacing w:line="360" w:lineRule="auto"/>
        <w:jc w:val="both"/>
        <w:rPr>
          <w:szCs w:val="22"/>
        </w:rPr>
      </w:pPr>
    </w:p>
    <w:p w14:paraId="221FBFEE" w14:textId="77777777" w:rsidR="00372279" w:rsidRPr="00372279" w:rsidRDefault="00372279" w:rsidP="00372279">
      <w:pPr>
        <w:spacing w:after="200" w:line="276" w:lineRule="auto"/>
        <w:rPr>
          <w:rFonts w:eastAsia="Calibri"/>
          <w:b/>
          <w:bCs/>
          <w:kern w:val="2"/>
        </w:rPr>
      </w:pPr>
      <w:r w:rsidRPr="00372279">
        <w:rPr>
          <w:rFonts w:eastAsia="Calibri"/>
          <w:b/>
          <w:bCs/>
          <w:kern w:val="2"/>
        </w:rPr>
        <w:t>Disclaimer (Artificial intelligence)</w:t>
      </w:r>
    </w:p>
    <w:p w14:paraId="0281A49F" w14:textId="247717BE" w:rsidR="00841925" w:rsidRDefault="00372279" w:rsidP="00372279">
      <w:pPr>
        <w:spacing w:after="200" w:line="276" w:lineRule="auto"/>
        <w:rPr>
          <w:rFonts w:eastAsia="Calibri"/>
          <w:kern w:val="2"/>
        </w:rPr>
      </w:pPr>
      <w:r w:rsidRPr="00372279">
        <w:rPr>
          <w:rFonts w:eastAsia="Calibri"/>
          <w:kern w:val="2"/>
        </w:rPr>
        <w:t>Author(s) hereby declare that NO generative AI technologies such as Large Language Models (</w:t>
      </w:r>
      <w:proofErr w:type="spellStart"/>
      <w:r w:rsidRPr="00372279">
        <w:rPr>
          <w:rFonts w:eastAsia="Calibri"/>
          <w:kern w:val="2"/>
        </w:rPr>
        <w:t>ChatGPT</w:t>
      </w:r>
      <w:proofErr w:type="spellEnd"/>
      <w:r w:rsidRPr="00372279">
        <w:rPr>
          <w:rFonts w:eastAsia="Calibri"/>
          <w:kern w:val="2"/>
        </w:rPr>
        <w:t xml:space="preserve">, COPILOT, etc.) and text-to-image generators have been used during the writing or editing of this manuscript. </w:t>
      </w:r>
    </w:p>
    <w:p w14:paraId="07D6A254" w14:textId="77777777" w:rsidR="00372279" w:rsidRDefault="00372279" w:rsidP="00372279">
      <w:pPr>
        <w:spacing w:after="200" w:line="276" w:lineRule="auto"/>
        <w:rPr>
          <w:bCs/>
          <w:color w:val="000000"/>
        </w:rPr>
      </w:pPr>
    </w:p>
    <w:p w14:paraId="42951C5D" w14:textId="77777777" w:rsidR="00A77B3E" w:rsidRPr="00C540DC" w:rsidRDefault="0063326D" w:rsidP="00C540DC">
      <w:pPr>
        <w:pStyle w:val="Heading3"/>
        <w:spacing w:line="360" w:lineRule="auto"/>
        <w:jc w:val="both"/>
        <w:rPr>
          <w:rFonts w:ascii="Times New Roman" w:hAnsi="Times New Roman" w:cs="Times New Roman"/>
          <w:bCs w:val="0"/>
          <w:color w:val="000000"/>
          <w:sz w:val="24"/>
          <w:szCs w:val="24"/>
        </w:rPr>
      </w:pPr>
      <w:r w:rsidRPr="00C540DC">
        <w:rPr>
          <w:rFonts w:ascii="Times New Roman" w:hAnsi="Times New Roman" w:cs="Times New Roman"/>
          <w:bCs w:val="0"/>
          <w:color w:val="000000"/>
          <w:sz w:val="24"/>
          <w:szCs w:val="24"/>
        </w:rPr>
        <w:lastRenderedPageBreak/>
        <w:t>References</w:t>
      </w:r>
    </w:p>
    <w:p w14:paraId="6D6DE2E4"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C16623">
        <w:rPr>
          <w:rFonts w:ascii="Times New Roman" w:hAnsi="Times New Roman" w:cs="Times New Roman"/>
          <w:color w:val="000000"/>
          <w:sz w:val="24"/>
          <w:szCs w:val="22"/>
        </w:rPr>
        <w:t xml:space="preserve">Gaspar, E. M. S. M., </w:t>
      </w:r>
      <w:proofErr w:type="spellStart"/>
      <w:r w:rsidRPr="00C16623">
        <w:rPr>
          <w:rFonts w:ascii="Times New Roman" w:hAnsi="Times New Roman" w:cs="Times New Roman"/>
          <w:color w:val="000000"/>
          <w:sz w:val="24"/>
          <w:szCs w:val="22"/>
        </w:rPr>
        <w:t>Nunes</w:t>
      </w:r>
      <w:proofErr w:type="spellEnd"/>
      <w:r w:rsidRPr="00C16623">
        <w:rPr>
          <w:rFonts w:ascii="Times New Roman" w:hAnsi="Times New Roman" w:cs="Times New Roman"/>
          <w:color w:val="000000"/>
          <w:sz w:val="24"/>
          <w:szCs w:val="22"/>
        </w:rPr>
        <w:t xml:space="preserve">, I. S., </w:t>
      </w:r>
      <w:proofErr w:type="spellStart"/>
      <w:r w:rsidRPr="00C16623">
        <w:rPr>
          <w:rFonts w:ascii="Times New Roman" w:hAnsi="Times New Roman" w:cs="Times New Roman"/>
          <w:color w:val="000000"/>
          <w:sz w:val="24"/>
          <w:szCs w:val="22"/>
        </w:rPr>
        <w:t>Gyamfi</w:t>
      </w:r>
      <w:proofErr w:type="spellEnd"/>
      <w:r w:rsidRPr="00C16623">
        <w:rPr>
          <w:rFonts w:ascii="Times New Roman" w:hAnsi="Times New Roman" w:cs="Times New Roman"/>
          <w:color w:val="000000"/>
          <w:sz w:val="24"/>
          <w:szCs w:val="22"/>
        </w:rPr>
        <w:t xml:space="preserve">, D., &amp; Lopes, J. F. (2012). </w:t>
      </w:r>
      <w:r w:rsidRPr="00C16623">
        <w:rPr>
          <w:rFonts w:ascii="Times New Roman" w:hAnsi="Times New Roman" w:cs="Times New Roman"/>
          <w:i/>
          <w:color w:val="000000"/>
          <w:sz w:val="24"/>
          <w:szCs w:val="22"/>
        </w:rPr>
        <w:t>CHAPTER 24. Food Sources and Analytical Approaches for Maltose Determination</w:t>
      </w:r>
      <w:r w:rsidRPr="00C16623">
        <w:rPr>
          <w:rFonts w:ascii="Times New Roman" w:hAnsi="Times New Roman" w:cs="Times New Roman"/>
          <w:color w:val="000000"/>
          <w:sz w:val="24"/>
          <w:szCs w:val="22"/>
        </w:rPr>
        <w:t xml:space="preserve"> (pp. 405–424). </w:t>
      </w:r>
      <w:proofErr w:type="gramStart"/>
      <w:r w:rsidRPr="00C16623">
        <w:rPr>
          <w:rFonts w:ascii="Times New Roman" w:hAnsi="Times New Roman" w:cs="Times New Roman"/>
          <w:color w:val="000000"/>
          <w:sz w:val="24"/>
          <w:szCs w:val="22"/>
        </w:rPr>
        <w:t>royal</w:t>
      </w:r>
      <w:proofErr w:type="gramEnd"/>
      <w:r w:rsidRPr="00C16623">
        <w:rPr>
          <w:rFonts w:ascii="Times New Roman" w:hAnsi="Times New Roman" w:cs="Times New Roman"/>
          <w:color w:val="000000"/>
          <w:sz w:val="24"/>
          <w:szCs w:val="22"/>
        </w:rPr>
        <w:t xml:space="preserve"> society of chemistry. </w:t>
      </w:r>
      <w:hyperlink r:id="rId11" w:history="1">
        <w:r w:rsidRPr="00C16623">
          <w:rPr>
            <w:rStyle w:val="Hyperlink"/>
            <w:rFonts w:ascii="Times New Roman" w:hAnsi="Times New Roman" w:cs="Times New Roman"/>
            <w:sz w:val="24"/>
            <w:szCs w:val="22"/>
          </w:rPr>
          <w:t>https://doi.org/10.1039/9781849734929-00405</w:t>
        </w:r>
      </w:hyperlink>
    </w:p>
    <w:p w14:paraId="2BA64422"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proofErr w:type="spellStart"/>
      <w:r w:rsidRPr="00C16623">
        <w:rPr>
          <w:rFonts w:ascii="Times New Roman" w:hAnsi="Times New Roman" w:cs="Times New Roman"/>
          <w:color w:val="000000"/>
          <w:sz w:val="24"/>
          <w:szCs w:val="22"/>
        </w:rPr>
        <w:t>Poothullil</w:t>
      </w:r>
      <w:proofErr w:type="spellEnd"/>
      <w:r w:rsidRPr="00C16623">
        <w:rPr>
          <w:rFonts w:ascii="Times New Roman" w:hAnsi="Times New Roman" w:cs="Times New Roman"/>
          <w:color w:val="000000"/>
          <w:sz w:val="24"/>
          <w:szCs w:val="22"/>
        </w:rPr>
        <w:t xml:space="preserve">, J. M. (1992). Maltose: The primary signal of hunger and satiation in human beings. </w:t>
      </w:r>
      <w:r w:rsidRPr="00C16623">
        <w:rPr>
          <w:rFonts w:ascii="Times New Roman" w:hAnsi="Times New Roman" w:cs="Times New Roman"/>
          <w:i/>
          <w:color w:val="000000"/>
          <w:sz w:val="24"/>
          <w:szCs w:val="22"/>
        </w:rPr>
        <w:t xml:space="preserve">Physiology &amp; </w:t>
      </w:r>
      <w:proofErr w:type="spellStart"/>
      <w:r w:rsidRPr="00C16623">
        <w:rPr>
          <w:rFonts w:ascii="Times New Roman" w:hAnsi="Times New Roman" w:cs="Times New Roman"/>
          <w:i/>
          <w:color w:val="000000"/>
          <w:sz w:val="24"/>
          <w:szCs w:val="22"/>
        </w:rPr>
        <w:t>Behavior</w:t>
      </w:r>
      <w:proofErr w:type="spellEnd"/>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52</w:t>
      </w:r>
      <w:r w:rsidRPr="00C16623">
        <w:rPr>
          <w:rFonts w:ascii="Times New Roman" w:hAnsi="Times New Roman" w:cs="Times New Roman"/>
          <w:color w:val="000000"/>
          <w:sz w:val="24"/>
          <w:szCs w:val="22"/>
        </w:rPr>
        <w:t xml:space="preserve">(1), 27–31. </w:t>
      </w:r>
      <w:hyperlink r:id="rId12" w:history="1">
        <w:r w:rsidRPr="00C16623">
          <w:rPr>
            <w:rStyle w:val="Hyperlink"/>
            <w:rFonts w:ascii="Times New Roman" w:hAnsi="Times New Roman" w:cs="Times New Roman"/>
            <w:sz w:val="24"/>
            <w:szCs w:val="22"/>
          </w:rPr>
          <w:t>https://doi.org/10.1016/0031-9384(92)90429-6</w:t>
        </w:r>
      </w:hyperlink>
    </w:p>
    <w:p w14:paraId="24909735"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3D297A">
        <w:rPr>
          <w:rFonts w:ascii="Times New Roman" w:hAnsi="Times New Roman" w:cs="Times New Roman"/>
          <w:color w:val="000000"/>
          <w:sz w:val="24"/>
          <w:szCs w:val="22"/>
          <w:lang w:val="de-DE"/>
        </w:rPr>
        <w:t xml:space="preserve">Finke, C., &amp; Reinauer, H. (1976). Über den Abbau von infundierter Maltose beim Menschen. </w:t>
      </w:r>
      <w:proofErr w:type="spellStart"/>
      <w:r w:rsidRPr="00C16623">
        <w:rPr>
          <w:rFonts w:ascii="Times New Roman" w:hAnsi="Times New Roman" w:cs="Times New Roman"/>
          <w:i/>
          <w:color w:val="000000"/>
          <w:sz w:val="24"/>
          <w:szCs w:val="22"/>
        </w:rPr>
        <w:t>Zeitschrift</w:t>
      </w:r>
      <w:proofErr w:type="spellEnd"/>
      <w:r w:rsidRPr="00C16623">
        <w:rPr>
          <w:rFonts w:ascii="Times New Roman" w:hAnsi="Times New Roman" w:cs="Times New Roman"/>
          <w:i/>
          <w:color w:val="000000"/>
          <w:sz w:val="24"/>
          <w:szCs w:val="22"/>
        </w:rPr>
        <w:t xml:space="preserve"> </w:t>
      </w:r>
      <w:proofErr w:type="spellStart"/>
      <w:r w:rsidRPr="00C16623">
        <w:rPr>
          <w:rFonts w:ascii="Times New Roman" w:hAnsi="Times New Roman" w:cs="Times New Roman"/>
          <w:i/>
          <w:color w:val="000000"/>
          <w:sz w:val="24"/>
          <w:szCs w:val="22"/>
        </w:rPr>
        <w:t>Für</w:t>
      </w:r>
      <w:proofErr w:type="spellEnd"/>
      <w:r w:rsidRPr="00C16623">
        <w:rPr>
          <w:rFonts w:ascii="Times New Roman" w:hAnsi="Times New Roman" w:cs="Times New Roman"/>
          <w:i/>
          <w:color w:val="000000"/>
          <w:sz w:val="24"/>
          <w:szCs w:val="22"/>
        </w:rPr>
        <w:t xml:space="preserve"> </w:t>
      </w:r>
      <w:proofErr w:type="spellStart"/>
      <w:r w:rsidRPr="00C16623">
        <w:rPr>
          <w:rFonts w:ascii="Times New Roman" w:hAnsi="Times New Roman" w:cs="Times New Roman"/>
          <w:i/>
          <w:color w:val="000000"/>
          <w:sz w:val="24"/>
          <w:szCs w:val="22"/>
        </w:rPr>
        <w:t>Ernährungswissenschaft</w:t>
      </w:r>
      <w:proofErr w:type="spellEnd"/>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15</w:t>
      </w:r>
      <w:r w:rsidRPr="00C16623">
        <w:rPr>
          <w:rFonts w:ascii="Times New Roman" w:hAnsi="Times New Roman" w:cs="Times New Roman"/>
          <w:color w:val="000000"/>
          <w:sz w:val="24"/>
          <w:szCs w:val="22"/>
        </w:rPr>
        <w:t xml:space="preserve">(2), 231–245. </w:t>
      </w:r>
      <w:hyperlink r:id="rId13" w:history="1">
        <w:r w:rsidRPr="00C16623">
          <w:rPr>
            <w:rStyle w:val="Hyperlink"/>
            <w:rFonts w:ascii="Times New Roman" w:hAnsi="Times New Roman" w:cs="Times New Roman"/>
            <w:sz w:val="24"/>
            <w:szCs w:val="22"/>
          </w:rPr>
          <w:t>https://doi.org/10.1007/bf02018446</w:t>
        </w:r>
      </w:hyperlink>
    </w:p>
    <w:p w14:paraId="5A059156"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proofErr w:type="spellStart"/>
      <w:r w:rsidRPr="00C16623">
        <w:rPr>
          <w:rFonts w:ascii="Times New Roman" w:hAnsi="Times New Roman" w:cs="Times New Roman"/>
          <w:color w:val="000000"/>
          <w:sz w:val="24"/>
          <w:szCs w:val="22"/>
        </w:rPr>
        <w:t>Fernandes</w:t>
      </w:r>
      <w:proofErr w:type="spellEnd"/>
      <w:r w:rsidRPr="00C16623">
        <w:rPr>
          <w:rFonts w:ascii="Times New Roman" w:hAnsi="Times New Roman" w:cs="Times New Roman"/>
          <w:color w:val="000000"/>
          <w:sz w:val="24"/>
          <w:szCs w:val="22"/>
        </w:rPr>
        <w:t xml:space="preserve">, J. (1974). The effect of disaccharides on the </w:t>
      </w:r>
      <w:proofErr w:type="spellStart"/>
      <w:r w:rsidRPr="00C16623">
        <w:rPr>
          <w:rFonts w:ascii="Times New Roman" w:hAnsi="Times New Roman" w:cs="Times New Roman"/>
          <w:color w:val="000000"/>
          <w:sz w:val="24"/>
          <w:szCs w:val="22"/>
        </w:rPr>
        <w:t>hyperlactacidaemia</w:t>
      </w:r>
      <w:proofErr w:type="spellEnd"/>
      <w:r w:rsidRPr="00C16623">
        <w:rPr>
          <w:rFonts w:ascii="Times New Roman" w:hAnsi="Times New Roman" w:cs="Times New Roman"/>
          <w:color w:val="000000"/>
          <w:sz w:val="24"/>
          <w:szCs w:val="22"/>
        </w:rPr>
        <w:t xml:space="preserve"> of glucose-6-phosphatase-deficient children. </w:t>
      </w:r>
      <w:proofErr w:type="spellStart"/>
      <w:r w:rsidRPr="00C16623">
        <w:rPr>
          <w:rFonts w:ascii="Times New Roman" w:hAnsi="Times New Roman" w:cs="Times New Roman"/>
          <w:i/>
          <w:color w:val="000000"/>
          <w:sz w:val="24"/>
          <w:szCs w:val="22"/>
        </w:rPr>
        <w:t>Acta</w:t>
      </w:r>
      <w:proofErr w:type="spellEnd"/>
      <w:r w:rsidRPr="00C16623">
        <w:rPr>
          <w:rFonts w:ascii="Times New Roman" w:hAnsi="Times New Roman" w:cs="Times New Roman"/>
          <w:i/>
          <w:color w:val="000000"/>
          <w:sz w:val="24"/>
          <w:szCs w:val="22"/>
        </w:rPr>
        <w:t xml:space="preserve"> </w:t>
      </w:r>
      <w:proofErr w:type="spellStart"/>
      <w:r w:rsidRPr="00C16623">
        <w:rPr>
          <w:rFonts w:ascii="Times New Roman" w:hAnsi="Times New Roman" w:cs="Times New Roman"/>
          <w:i/>
          <w:color w:val="000000"/>
          <w:sz w:val="24"/>
          <w:szCs w:val="22"/>
        </w:rPr>
        <w:t>Paediatrica</w:t>
      </w:r>
      <w:proofErr w:type="spellEnd"/>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63</w:t>
      </w:r>
      <w:r w:rsidRPr="00C16623">
        <w:rPr>
          <w:rFonts w:ascii="Times New Roman" w:hAnsi="Times New Roman" w:cs="Times New Roman"/>
          <w:color w:val="000000"/>
          <w:sz w:val="24"/>
          <w:szCs w:val="22"/>
        </w:rPr>
        <w:t xml:space="preserve">(5), 695–698. </w:t>
      </w:r>
      <w:hyperlink r:id="rId14" w:history="1">
        <w:r w:rsidRPr="00C16623">
          <w:rPr>
            <w:rStyle w:val="Hyperlink"/>
            <w:rFonts w:ascii="Times New Roman" w:hAnsi="Times New Roman" w:cs="Times New Roman"/>
            <w:sz w:val="24"/>
            <w:szCs w:val="22"/>
          </w:rPr>
          <w:t>https://doi.org/10.1111/j.1651-2227.1974.tb16992.x</w:t>
        </w:r>
      </w:hyperlink>
    </w:p>
    <w:p w14:paraId="22A57C37"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3D297A">
        <w:rPr>
          <w:rFonts w:ascii="Times New Roman" w:hAnsi="Times New Roman" w:cs="Times New Roman"/>
          <w:color w:val="000000"/>
          <w:sz w:val="24"/>
          <w:szCs w:val="22"/>
          <w:lang w:val="de-DE"/>
        </w:rPr>
        <w:t xml:space="preserve">Förster, H., Hoos, I., &amp; Boecker, S. (1976). </w:t>
      </w:r>
      <w:r w:rsidRPr="00C16623">
        <w:rPr>
          <w:rFonts w:ascii="Times New Roman" w:hAnsi="Times New Roman" w:cs="Times New Roman"/>
          <w:color w:val="000000"/>
          <w:sz w:val="24"/>
          <w:szCs w:val="22"/>
        </w:rPr>
        <w:t xml:space="preserve">Tests with human volunteers on parenteral utilization of maltose. </w:t>
      </w:r>
      <w:proofErr w:type="spellStart"/>
      <w:r w:rsidRPr="00C16623">
        <w:rPr>
          <w:rFonts w:ascii="Times New Roman" w:hAnsi="Times New Roman" w:cs="Times New Roman"/>
          <w:i/>
          <w:color w:val="000000"/>
          <w:sz w:val="24"/>
          <w:szCs w:val="22"/>
        </w:rPr>
        <w:t>Zeitschrift</w:t>
      </w:r>
      <w:proofErr w:type="spellEnd"/>
      <w:r w:rsidRPr="00C16623">
        <w:rPr>
          <w:rFonts w:ascii="Times New Roman" w:hAnsi="Times New Roman" w:cs="Times New Roman"/>
          <w:i/>
          <w:color w:val="000000"/>
          <w:sz w:val="24"/>
          <w:szCs w:val="22"/>
        </w:rPr>
        <w:t xml:space="preserve"> Fur </w:t>
      </w:r>
      <w:proofErr w:type="spellStart"/>
      <w:r w:rsidRPr="00C16623">
        <w:rPr>
          <w:rFonts w:ascii="Times New Roman" w:hAnsi="Times New Roman" w:cs="Times New Roman"/>
          <w:i/>
          <w:color w:val="000000"/>
          <w:sz w:val="24"/>
          <w:szCs w:val="22"/>
        </w:rPr>
        <w:t>Ernahrungswissenschaft</w:t>
      </w:r>
      <w:proofErr w:type="spellEnd"/>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15</w:t>
      </w:r>
      <w:r w:rsidRPr="00C16623">
        <w:rPr>
          <w:rFonts w:ascii="Times New Roman" w:hAnsi="Times New Roman" w:cs="Times New Roman"/>
          <w:color w:val="000000"/>
          <w:sz w:val="24"/>
          <w:szCs w:val="22"/>
        </w:rPr>
        <w:t xml:space="preserve">(3), 284–293. </w:t>
      </w:r>
      <w:hyperlink r:id="rId15" w:history="1">
        <w:r w:rsidRPr="00C16623">
          <w:rPr>
            <w:rStyle w:val="Hyperlink"/>
            <w:rFonts w:ascii="Times New Roman" w:hAnsi="Times New Roman" w:cs="Times New Roman"/>
            <w:sz w:val="24"/>
            <w:szCs w:val="22"/>
          </w:rPr>
          <w:t>https://doi.org/10.1007/bf02022005</w:t>
        </w:r>
      </w:hyperlink>
    </w:p>
    <w:p w14:paraId="419B1A01"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C16623">
        <w:rPr>
          <w:rFonts w:ascii="Times New Roman" w:hAnsi="Times New Roman" w:cs="Times New Roman"/>
          <w:color w:val="000000"/>
          <w:sz w:val="24"/>
          <w:szCs w:val="22"/>
        </w:rPr>
        <w:t xml:space="preserve">Crow, R. R., Varela, M. F., &amp; Kumar, S. (2012). </w:t>
      </w:r>
      <w:r w:rsidRPr="00C16623">
        <w:rPr>
          <w:rFonts w:ascii="Times New Roman" w:hAnsi="Times New Roman" w:cs="Times New Roman"/>
          <w:i/>
          <w:color w:val="000000"/>
          <w:sz w:val="24"/>
          <w:szCs w:val="22"/>
        </w:rPr>
        <w:t>CHAPTER 7. Maltose Chemistry and Biochemistry</w:t>
      </w:r>
      <w:r w:rsidRPr="00C16623">
        <w:rPr>
          <w:rFonts w:ascii="Times New Roman" w:hAnsi="Times New Roman" w:cs="Times New Roman"/>
          <w:color w:val="000000"/>
          <w:sz w:val="24"/>
          <w:szCs w:val="22"/>
        </w:rPr>
        <w:t xml:space="preserve"> (pp. 101–114). </w:t>
      </w:r>
      <w:proofErr w:type="gramStart"/>
      <w:r w:rsidRPr="00C16623">
        <w:rPr>
          <w:rFonts w:ascii="Times New Roman" w:hAnsi="Times New Roman" w:cs="Times New Roman"/>
          <w:color w:val="000000"/>
          <w:sz w:val="24"/>
          <w:szCs w:val="22"/>
        </w:rPr>
        <w:t>royal</w:t>
      </w:r>
      <w:proofErr w:type="gramEnd"/>
      <w:r w:rsidRPr="00C16623">
        <w:rPr>
          <w:rFonts w:ascii="Times New Roman" w:hAnsi="Times New Roman" w:cs="Times New Roman"/>
          <w:color w:val="000000"/>
          <w:sz w:val="24"/>
          <w:szCs w:val="22"/>
        </w:rPr>
        <w:t xml:space="preserve"> society of chemistry. </w:t>
      </w:r>
      <w:hyperlink r:id="rId16" w:history="1">
        <w:r w:rsidRPr="00C16623">
          <w:rPr>
            <w:rStyle w:val="Hyperlink"/>
            <w:rFonts w:ascii="Times New Roman" w:hAnsi="Times New Roman" w:cs="Times New Roman"/>
            <w:sz w:val="24"/>
            <w:szCs w:val="22"/>
          </w:rPr>
          <w:t>https://doi.org/10.1039/9781849734929-00101</w:t>
        </w:r>
      </w:hyperlink>
    </w:p>
    <w:p w14:paraId="764171E6"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proofErr w:type="spellStart"/>
      <w:r w:rsidRPr="00C16623">
        <w:rPr>
          <w:rFonts w:ascii="Times New Roman" w:hAnsi="Times New Roman" w:cs="Times New Roman"/>
          <w:color w:val="000000"/>
          <w:sz w:val="24"/>
          <w:szCs w:val="22"/>
        </w:rPr>
        <w:t>Shibazaki</w:t>
      </w:r>
      <w:proofErr w:type="spellEnd"/>
      <w:r w:rsidRPr="00C16623">
        <w:rPr>
          <w:rFonts w:ascii="Times New Roman" w:hAnsi="Times New Roman" w:cs="Times New Roman"/>
          <w:color w:val="000000"/>
          <w:sz w:val="24"/>
          <w:szCs w:val="22"/>
        </w:rPr>
        <w:t xml:space="preserve">, N., Matsuyama, H., </w:t>
      </w:r>
      <w:proofErr w:type="spellStart"/>
      <w:r w:rsidRPr="00C16623">
        <w:rPr>
          <w:rFonts w:ascii="Times New Roman" w:hAnsi="Times New Roman" w:cs="Times New Roman"/>
          <w:color w:val="000000"/>
          <w:sz w:val="24"/>
          <w:szCs w:val="22"/>
        </w:rPr>
        <w:t>Sakakibara</w:t>
      </w:r>
      <w:proofErr w:type="spellEnd"/>
      <w:r w:rsidRPr="00C16623">
        <w:rPr>
          <w:rFonts w:ascii="Times New Roman" w:hAnsi="Times New Roman" w:cs="Times New Roman"/>
          <w:color w:val="000000"/>
          <w:sz w:val="24"/>
          <w:szCs w:val="22"/>
        </w:rPr>
        <w:t xml:space="preserve">, H., Yokoyama, D., Kubota, H., Ogawa, K., Suzuki, Y., &amp; Tanaka, W. (2022). Maltose consumption exacerbates high-fat diet-induced overweight and related parameters in mice. </w:t>
      </w:r>
      <w:r w:rsidRPr="00C16623">
        <w:rPr>
          <w:rFonts w:ascii="Times New Roman" w:hAnsi="Times New Roman" w:cs="Times New Roman"/>
          <w:i/>
          <w:color w:val="000000"/>
          <w:sz w:val="24"/>
          <w:szCs w:val="22"/>
        </w:rPr>
        <w:t>Functional Foods in Health and Disease</w:t>
      </w:r>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12</w:t>
      </w:r>
      <w:r w:rsidRPr="00C16623">
        <w:rPr>
          <w:rFonts w:ascii="Times New Roman" w:hAnsi="Times New Roman" w:cs="Times New Roman"/>
          <w:color w:val="000000"/>
          <w:sz w:val="24"/>
          <w:szCs w:val="22"/>
        </w:rPr>
        <w:t xml:space="preserve">(11), 680. </w:t>
      </w:r>
      <w:hyperlink r:id="rId17" w:history="1">
        <w:r w:rsidRPr="00C16623">
          <w:rPr>
            <w:rStyle w:val="Hyperlink"/>
            <w:rFonts w:ascii="Times New Roman" w:hAnsi="Times New Roman" w:cs="Times New Roman"/>
            <w:sz w:val="24"/>
            <w:szCs w:val="22"/>
          </w:rPr>
          <w:t>https://doi.org/10.31989/ffhd.v12i11.997</w:t>
        </w:r>
      </w:hyperlink>
    </w:p>
    <w:p w14:paraId="47BB8714"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C16623">
        <w:rPr>
          <w:rFonts w:ascii="Times New Roman" w:hAnsi="Times New Roman" w:cs="Times New Roman"/>
          <w:color w:val="000000"/>
          <w:sz w:val="24"/>
          <w:szCs w:val="22"/>
        </w:rPr>
        <w:t>Sánchez-</w:t>
      </w:r>
      <w:proofErr w:type="spellStart"/>
      <w:r w:rsidRPr="00C16623">
        <w:rPr>
          <w:rFonts w:ascii="Times New Roman" w:hAnsi="Times New Roman" w:cs="Times New Roman"/>
          <w:color w:val="000000"/>
          <w:sz w:val="24"/>
          <w:szCs w:val="22"/>
        </w:rPr>
        <w:t>Viesca</w:t>
      </w:r>
      <w:proofErr w:type="spellEnd"/>
      <w:r w:rsidRPr="00C16623">
        <w:rPr>
          <w:rFonts w:ascii="Times New Roman" w:hAnsi="Times New Roman" w:cs="Times New Roman"/>
          <w:color w:val="000000"/>
          <w:sz w:val="24"/>
          <w:szCs w:val="22"/>
        </w:rPr>
        <w:t xml:space="preserve">, F., &amp; Gómez G, R. (2017). </w:t>
      </w:r>
      <w:proofErr w:type="spellStart"/>
      <w:r w:rsidRPr="00C16623">
        <w:rPr>
          <w:rFonts w:ascii="Times New Roman" w:hAnsi="Times New Roman" w:cs="Times New Roman"/>
          <w:color w:val="000000"/>
          <w:sz w:val="24"/>
          <w:szCs w:val="22"/>
        </w:rPr>
        <w:t>Reactivities</w:t>
      </w:r>
      <w:proofErr w:type="spellEnd"/>
      <w:r w:rsidRPr="00C16623">
        <w:rPr>
          <w:rFonts w:ascii="Times New Roman" w:hAnsi="Times New Roman" w:cs="Times New Roman"/>
          <w:color w:val="000000"/>
          <w:sz w:val="24"/>
          <w:szCs w:val="22"/>
        </w:rPr>
        <w:t xml:space="preserve"> Involved in the </w:t>
      </w:r>
      <w:proofErr w:type="spellStart"/>
      <w:r w:rsidRPr="00C16623">
        <w:rPr>
          <w:rFonts w:ascii="Times New Roman" w:hAnsi="Times New Roman" w:cs="Times New Roman"/>
          <w:color w:val="000000"/>
          <w:sz w:val="24"/>
          <w:szCs w:val="22"/>
        </w:rPr>
        <w:t>Regioselectivity</w:t>
      </w:r>
      <w:proofErr w:type="spellEnd"/>
      <w:r w:rsidRPr="00C16623">
        <w:rPr>
          <w:rFonts w:ascii="Times New Roman" w:hAnsi="Times New Roman" w:cs="Times New Roman"/>
          <w:color w:val="000000"/>
          <w:sz w:val="24"/>
          <w:szCs w:val="22"/>
        </w:rPr>
        <w:t xml:space="preserve"> of </w:t>
      </w:r>
      <w:proofErr w:type="spellStart"/>
      <w:r w:rsidRPr="00C16623">
        <w:rPr>
          <w:rFonts w:ascii="Times New Roman" w:hAnsi="Times New Roman" w:cs="Times New Roman"/>
          <w:color w:val="000000"/>
          <w:sz w:val="24"/>
          <w:szCs w:val="22"/>
        </w:rPr>
        <w:t>Osazone</w:t>
      </w:r>
      <w:proofErr w:type="spellEnd"/>
      <w:r w:rsidRPr="00C16623">
        <w:rPr>
          <w:rFonts w:ascii="Times New Roman" w:hAnsi="Times New Roman" w:cs="Times New Roman"/>
          <w:color w:val="000000"/>
          <w:sz w:val="24"/>
          <w:szCs w:val="22"/>
        </w:rPr>
        <w:t xml:space="preserve"> Formation. </w:t>
      </w:r>
      <w:r w:rsidRPr="00C16623">
        <w:rPr>
          <w:rFonts w:ascii="Times New Roman" w:hAnsi="Times New Roman" w:cs="Times New Roman"/>
          <w:i/>
          <w:color w:val="000000"/>
          <w:sz w:val="24"/>
          <w:szCs w:val="22"/>
        </w:rPr>
        <w:t>World Journal of Organic Chemistry</w:t>
      </w:r>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5</w:t>
      </w:r>
      <w:r w:rsidRPr="00C16623">
        <w:rPr>
          <w:rFonts w:ascii="Times New Roman" w:hAnsi="Times New Roman" w:cs="Times New Roman"/>
          <w:color w:val="000000"/>
          <w:sz w:val="24"/>
          <w:szCs w:val="22"/>
        </w:rPr>
        <w:t xml:space="preserve">(1), 11–16. </w:t>
      </w:r>
      <w:hyperlink r:id="rId18" w:history="1">
        <w:r w:rsidRPr="00C16623">
          <w:rPr>
            <w:rStyle w:val="Hyperlink"/>
            <w:rFonts w:ascii="Times New Roman" w:hAnsi="Times New Roman" w:cs="Times New Roman"/>
            <w:sz w:val="24"/>
            <w:szCs w:val="22"/>
          </w:rPr>
          <w:t>https://doi.org/10.12691/wjoc-5-1-3</w:t>
        </w:r>
      </w:hyperlink>
    </w:p>
    <w:p w14:paraId="0039F44B"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proofErr w:type="spellStart"/>
      <w:r w:rsidRPr="00C16623">
        <w:rPr>
          <w:rFonts w:ascii="Times New Roman" w:hAnsi="Times New Roman" w:cs="Times New Roman"/>
          <w:color w:val="000000"/>
          <w:sz w:val="24"/>
          <w:szCs w:val="22"/>
        </w:rPr>
        <w:t>Micheel</w:t>
      </w:r>
      <w:proofErr w:type="spellEnd"/>
      <w:r w:rsidRPr="00C16623">
        <w:rPr>
          <w:rFonts w:ascii="Times New Roman" w:hAnsi="Times New Roman" w:cs="Times New Roman"/>
          <w:color w:val="000000"/>
          <w:sz w:val="24"/>
          <w:szCs w:val="22"/>
        </w:rPr>
        <w:t xml:space="preserve">, F., &amp; </w:t>
      </w:r>
      <w:proofErr w:type="spellStart"/>
      <w:r w:rsidRPr="00C16623">
        <w:rPr>
          <w:rFonts w:ascii="Times New Roman" w:hAnsi="Times New Roman" w:cs="Times New Roman"/>
          <w:color w:val="000000"/>
          <w:sz w:val="24"/>
          <w:szCs w:val="22"/>
        </w:rPr>
        <w:t>Dijong</w:t>
      </w:r>
      <w:proofErr w:type="spellEnd"/>
      <w:r w:rsidRPr="00C16623">
        <w:rPr>
          <w:rFonts w:ascii="Times New Roman" w:hAnsi="Times New Roman" w:cs="Times New Roman"/>
          <w:color w:val="000000"/>
          <w:sz w:val="24"/>
          <w:szCs w:val="22"/>
        </w:rPr>
        <w:t xml:space="preserve">, I. (1963). ON THE MECHANISM OF THE OSAZONE REACTION. </w:t>
      </w:r>
      <w:proofErr w:type="spellStart"/>
      <w:r w:rsidRPr="00C16623">
        <w:rPr>
          <w:rFonts w:ascii="Times New Roman" w:hAnsi="Times New Roman" w:cs="Times New Roman"/>
          <w:i/>
          <w:color w:val="000000"/>
          <w:sz w:val="24"/>
          <w:szCs w:val="22"/>
        </w:rPr>
        <w:t>Experientia</w:t>
      </w:r>
      <w:proofErr w:type="spellEnd"/>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19</w:t>
      </w:r>
      <w:r w:rsidRPr="00C16623">
        <w:rPr>
          <w:rFonts w:ascii="Times New Roman" w:hAnsi="Times New Roman" w:cs="Times New Roman"/>
          <w:color w:val="000000"/>
          <w:sz w:val="24"/>
          <w:szCs w:val="22"/>
        </w:rPr>
        <w:t xml:space="preserve">(7), 338–339. </w:t>
      </w:r>
      <w:hyperlink r:id="rId19" w:history="1">
        <w:r w:rsidRPr="00C16623">
          <w:rPr>
            <w:rStyle w:val="Hyperlink"/>
            <w:rFonts w:ascii="Times New Roman" w:hAnsi="Times New Roman" w:cs="Times New Roman"/>
            <w:sz w:val="24"/>
            <w:szCs w:val="22"/>
          </w:rPr>
          <w:t>https://doi.org/10.1007/bf02152304</w:t>
        </w:r>
      </w:hyperlink>
    </w:p>
    <w:p w14:paraId="4A5D958C"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C16623">
        <w:rPr>
          <w:rFonts w:ascii="Times New Roman" w:hAnsi="Times New Roman" w:cs="Times New Roman"/>
          <w:color w:val="000000"/>
          <w:sz w:val="24"/>
          <w:szCs w:val="22"/>
        </w:rPr>
        <w:t xml:space="preserve">El </w:t>
      </w:r>
      <w:proofErr w:type="spellStart"/>
      <w:r w:rsidRPr="00C16623">
        <w:rPr>
          <w:rFonts w:ascii="Times New Roman" w:hAnsi="Times New Roman" w:cs="Times New Roman"/>
          <w:color w:val="000000"/>
          <w:sz w:val="24"/>
          <w:szCs w:val="22"/>
        </w:rPr>
        <w:t>Khadem</w:t>
      </w:r>
      <w:proofErr w:type="spellEnd"/>
      <w:r w:rsidRPr="00C16623">
        <w:rPr>
          <w:rFonts w:ascii="Times New Roman" w:hAnsi="Times New Roman" w:cs="Times New Roman"/>
          <w:color w:val="000000"/>
          <w:sz w:val="24"/>
          <w:szCs w:val="22"/>
        </w:rPr>
        <w:t xml:space="preserve">, H. S., </w:t>
      </w:r>
      <w:proofErr w:type="spellStart"/>
      <w:r w:rsidRPr="00C16623">
        <w:rPr>
          <w:rFonts w:ascii="Times New Roman" w:hAnsi="Times New Roman" w:cs="Times New Roman"/>
          <w:color w:val="000000"/>
          <w:sz w:val="24"/>
          <w:szCs w:val="22"/>
        </w:rPr>
        <w:t>Shalaby</w:t>
      </w:r>
      <w:proofErr w:type="spellEnd"/>
      <w:r w:rsidRPr="00C16623">
        <w:rPr>
          <w:rFonts w:ascii="Times New Roman" w:hAnsi="Times New Roman" w:cs="Times New Roman"/>
          <w:color w:val="000000"/>
          <w:sz w:val="24"/>
          <w:szCs w:val="22"/>
        </w:rPr>
        <w:t xml:space="preserve">, M. A., </w:t>
      </w:r>
      <w:proofErr w:type="spellStart"/>
      <w:r w:rsidRPr="00C16623">
        <w:rPr>
          <w:rFonts w:ascii="Times New Roman" w:hAnsi="Times New Roman" w:cs="Times New Roman"/>
          <w:color w:val="000000"/>
          <w:sz w:val="24"/>
          <w:szCs w:val="22"/>
        </w:rPr>
        <w:t>Coxon</w:t>
      </w:r>
      <w:proofErr w:type="spellEnd"/>
      <w:r w:rsidRPr="00C16623">
        <w:rPr>
          <w:rFonts w:ascii="Times New Roman" w:hAnsi="Times New Roman" w:cs="Times New Roman"/>
          <w:color w:val="000000"/>
          <w:sz w:val="24"/>
          <w:szCs w:val="22"/>
        </w:rPr>
        <w:t xml:space="preserve">, B., &amp; </w:t>
      </w:r>
      <w:proofErr w:type="spellStart"/>
      <w:r w:rsidRPr="00C16623">
        <w:rPr>
          <w:rFonts w:ascii="Times New Roman" w:hAnsi="Times New Roman" w:cs="Times New Roman"/>
          <w:color w:val="000000"/>
          <w:sz w:val="24"/>
          <w:szCs w:val="22"/>
        </w:rPr>
        <w:t>Fatiadi</w:t>
      </w:r>
      <w:proofErr w:type="spellEnd"/>
      <w:r w:rsidRPr="00C16623">
        <w:rPr>
          <w:rFonts w:ascii="Times New Roman" w:hAnsi="Times New Roman" w:cs="Times New Roman"/>
          <w:color w:val="000000"/>
          <w:sz w:val="24"/>
          <w:szCs w:val="22"/>
        </w:rPr>
        <w:t xml:space="preserve">, A. J. (1993). The reaction of </w:t>
      </w:r>
      <w:proofErr w:type="spellStart"/>
      <w:r w:rsidRPr="00C16623">
        <w:rPr>
          <w:rFonts w:ascii="Times New Roman" w:hAnsi="Times New Roman" w:cs="Times New Roman"/>
          <w:color w:val="000000"/>
          <w:sz w:val="24"/>
          <w:szCs w:val="22"/>
        </w:rPr>
        <w:t>phenylhydrazine</w:t>
      </w:r>
      <w:proofErr w:type="spellEnd"/>
      <w:r w:rsidRPr="00C16623">
        <w:rPr>
          <w:rFonts w:ascii="Times New Roman" w:hAnsi="Times New Roman" w:cs="Times New Roman"/>
          <w:color w:val="000000"/>
          <w:sz w:val="24"/>
          <w:szCs w:val="22"/>
        </w:rPr>
        <w:t xml:space="preserve"> with </w:t>
      </w:r>
      <w:proofErr w:type="spellStart"/>
      <w:r w:rsidRPr="00C16623">
        <w:rPr>
          <w:rFonts w:ascii="Times New Roman" w:hAnsi="Times New Roman" w:cs="Times New Roman"/>
          <w:color w:val="000000"/>
          <w:sz w:val="24"/>
          <w:szCs w:val="22"/>
        </w:rPr>
        <w:t>squaric</w:t>
      </w:r>
      <w:proofErr w:type="spellEnd"/>
      <w:r w:rsidRPr="00C16623">
        <w:rPr>
          <w:rFonts w:ascii="Times New Roman" w:hAnsi="Times New Roman" w:cs="Times New Roman"/>
          <w:color w:val="000000"/>
          <w:sz w:val="24"/>
          <w:szCs w:val="22"/>
        </w:rPr>
        <w:t xml:space="preserve"> acid: a model for carbohydrate </w:t>
      </w:r>
      <w:proofErr w:type="spellStart"/>
      <w:r w:rsidRPr="00C16623">
        <w:rPr>
          <w:rFonts w:ascii="Times New Roman" w:hAnsi="Times New Roman" w:cs="Times New Roman"/>
          <w:color w:val="000000"/>
          <w:sz w:val="24"/>
          <w:szCs w:val="22"/>
        </w:rPr>
        <w:t>osazone</w:t>
      </w:r>
      <w:proofErr w:type="spellEnd"/>
      <w:r w:rsidRPr="00C16623">
        <w:rPr>
          <w:rFonts w:ascii="Times New Roman" w:hAnsi="Times New Roman" w:cs="Times New Roman"/>
          <w:color w:val="000000"/>
          <w:sz w:val="24"/>
          <w:szCs w:val="22"/>
        </w:rPr>
        <w:t xml:space="preserve"> formation. </w:t>
      </w:r>
      <w:r w:rsidRPr="00C16623">
        <w:rPr>
          <w:rFonts w:ascii="Times New Roman" w:hAnsi="Times New Roman" w:cs="Times New Roman"/>
          <w:i/>
          <w:color w:val="000000"/>
          <w:sz w:val="24"/>
          <w:szCs w:val="22"/>
        </w:rPr>
        <w:t>Carbohydrate Research</w:t>
      </w:r>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239</w:t>
      </w:r>
      <w:r w:rsidRPr="00C16623">
        <w:rPr>
          <w:rFonts w:ascii="Times New Roman" w:hAnsi="Times New Roman" w:cs="Times New Roman"/>
          <w:color w:val="000000"/>
          <w:sz w:val="24"/>
          <w:szCs w:val="22"/>
        </w:rPr>
        <w:t xml:space="preserve">, 85–93. </w:t>
      </w:r>
      <w:hyperlink r:id="rId20" w:history="1">
        <w:r w:rsidRPr="00C16623">
          <w:rPr>
            <w:rStyle w:val="Hyperlink"/>
            <w:rFonts w:ascii="Times New Roman" w:hAnsi="Times New Roman" w:cs="Times New Roman"/>
            <w:sz w:val="24"/>
            <w:szCs w:val="22"/>
          </w:rPr>
          <w:t>https://doi.org/10.1016/0008-6215(93)84205-k</w:t>
        </w:r>
      </w:hyperlink>
    </w:p>
    <w:p w14:paraId="033EED76" w14:textId="77777777" w:rsidR="00C16623" w:rsidRDefault="00C16623" w:rsidP="00C16623">
      <w:pPr>
        <w:pStyle w:val="ListParagraph"/>
        <w:numPr>
          <w:ilvl w:val="0"/>
          <w:numId w:val="5"/>
        </w:numPr>
        <w:spacing w:after="0" w:line="360" w:lineRule="auto"/>
        <w:jc w:val="both"/>
        <w:rPr>
          <w:rFonts w:ascii="Times New Roman" w:hAnsi="Times New Roman" w:cs="Times New Roman"/>
          <w:sz w:val="24"/>
          <w:szCs w:val="22"/>
          <w:lang w:eastAsia="en-IN"/>
        </w:rPr>
      </w:pPr>
      <w:r w:rsidRPr="00C16623">
        <w:rPr>
          <w:rFonts w:ascii="Times New Roman" w:hAnsi="Times New Roman" w:cs="Times New Roman"/>
          <w:sz w:val="24"/>
          <w:szCs w:val="22"/>
          <w:lang w:eastAsia="en-IN"/>
        </w:rPr>
        <w:lastRenderedPageBreak/>
        <w:t xml:space="preserve">Huang, X., </w:t>
      </w:r>
      <w:proofErr w:type="spellStart"/>
      <w:r w:rsidRPr="00C16623">
        <w:rPr>
          <w:rFonts w:ascii="Times New Roman" w:hAnsi="Times New Roman" w:cs="Times New Roman"/>
          <w:sz w:val="24"/>
          <w:szCs w:val="22"/>
          <w:lang w:eastAsia="en-IN"/>
        </w:rPr>
        <w:t>Guo</w:t>
      </w:r>
      <w:proofErr w:type="spellEnd"/>
      <w:r w:rsidRPr="00C16623">
        <w:rPr>
          <w:rFonts w:ascii="Times New Roman" w:hAnsi="Times New Roman" w:cs="Times New Roman"/>
          <w:sz w:val="24"/>
          <w:szCs w:val="22"/>
          <w:lang w:eastAsia="en-IN"/>
        </w:rPr>
        <w:t xml:space="preserve">, Q., Tang, B. Z., Lam, J. W. Y., </w:t>
      </w:r>
      <w:proofErr w:type="spellStart"/>
      <w:r w:rsidRPr="00C16623">
        <w:rPr>
          <w:rFonts w:ascii="Times New Roman" w:hAnsi="Times New Roman" w:cs="Times New Roman"/>
          <w:sz w:val="24"/>
          <w:szCs w:val="22"/>
          <w:lang w:eastAsia="en-IN"/>
        </w:rPr>
        <w:t>Leng</w:t>
      </w:r>
      <w:proofErr w:type="spellEnd"/>
      <w:r w:rsidRPr="00C16623">
        <w:rPr>
          <w:rFonts w:ascii="Times New Roman" w:hAnsi="Times New Roman" w:cs="Times New Roman"/>
          <w:sz w:val="24"/>
          <w:szCs w:val="22"/>
          <w:lang w:eastAsia="en-IN"/>
        </w:rPr>
        <w:t xml:space="preserve">, Y., </w:t>
      </w:r>
      <w:proofErr w:type="spellStart"/>
      <w:r w:rsidRPr="00C16623">
        <w:rPr>
          <w:rFonts w:ascii="Times New Roman" w:hAnsi="Times New Roman" w:cs="Times New Roman"/>
          <w:sz w:val="24"/>
          <w:szCs w:val="22"/>
          <w:lang w:eastAsia="en-IN"/>
        </w:rPr>
        <w:t>Xiong</w:t>
      </w:r>
      <w:proofErr w:type="spellEnd"/>
      <w:r w:rsidRPr="00C16623">
        <w:rPr>
          <w:rFonts w:ascii="Times New Roman" w:hAnsi="Times New Roman" w:cs="Times New Roman"/>
          <w:sz w:val="24"/>
          <w:szCs w:val="22"/>
          <w:lang w:eastAsia="en-IN"/>
        </w:rPr>
        <w:t xml:space="preserve">, Y., Zhang, R., &amp; Zhao, Z. (2020). </w:t>
      </w:r>
      <w:proofErr w:type="spellStart"/>
      <w:r w:rsidRPr="00C16623">
        <w:rPr>
          <w:rFonts w:ascii="Times New Roman" w:hAnsi="Times New Roman" w:cs="Times New Roman"/>
          <w:sz w:val="24"/>
          <w:szCs w:val="22"/>
          <w:lang w:eastAsia="en-IN"/>
        </w:rPr>
        <w:t>AIEgens</w:t>
      </w:r>
      <w:proofErr w:type="spellEnd"/>
      <w:r w:rsidRPr="00C16623">
        <w:rPr>
          <w:rFonts w:ascii="Times New Roman" w:hAnsi="Times New Roman" w:cs="Times New Roman"/>
          <w:sz w:val="24"/>
          <w:szCs w:val="22"/>
          <w:lang w:eastAsia="en-IN"/>
        </w:rPr>
        <w:t xml:space="preserve">: An emerging fluorescent sensing tool to aid food safety and quality control. </w:t>
      </w:r>
      <w:r w:rsidRPr="00C16623">
        <w:rPr>
          <w:rFonts w:ascii="Times New Roman" w:hAnsi="Times New Roman" w:cs="Times New Roman"/>
          <w:i/>
          <w:iCs/>
          <w:sz w:val="24"/>
          <w:szCs w:val="22"/>
          <w:lang w:eastAsia="en-IN"/>
        </w:rPr>
        <w:t>Comprehensive Reviews in Food Science and Food Safety</w:t>
      </w:r>
      <w:r w:rsidRPr="00C16623">
        <w:rPr>
          <w:rFonts w:ascii="Times New Roman" w:hAnsi="Times New Roman" w:cs="Times New Roman"/>
          <w:sz w:val="24"/>
          <w:szCs w:val="22"/>
          <w:lang w:eastAsia="en-IN"/>
        </w:rPr>
        <w:t xml:space="preserve">, </w:t>
      </w:r>
      <w:r w:rsidRPr="00C16623">
        <w:rPr>
          <w:rFonts w:ascii="Times New Roman" w:hAnsi="Times New Roman" w:cs="Times New Roman"/>
          <w:i/>
          <w:iCs/>
          <w:sz w:val="24"/>
          <w:szCs w:val="22"/>
          <w:lang w:eastAsia="en-IN"/>
        </w:rPr>
        <w:t>19</w:t>
      </w:r>
      <w:r w:rsidRPr="00C16623">
        <w:rPr>
          <w:rFonts w:ascii="Times New Roman" w:hAnsi="Times New Roman" w:cs="Times New Roman"/>
          <w:sz w:val="24"/>
          <w:szCs w:val="22"/>
          <w:lang w:eastAsia="en-IN"/>
        </w:rPr>
        <w:t xml:space="preserve">(4), 2297–2329. </w:t>
      </w:r>
      <w:hyperlink r:id="rId21" w:history="1">
        <w:r w:rsidRPr="00C16623">
          <w:rPr>
            <w:rStyle w:val="Hyperlink"/>
            <w:rFonts w:ascii="Times New Roman" w:hAnsi="Times New Roman" w:cs="Times New Roman"/>
            <w:sz w:val="24"/>
            <w:szCs w:val="22"/>
            <w:lang w:eastAsia="en-IN"/>
          </w:rPr>
          <w:t>https://doi.org/10.1111/1541-4337.12591</w:t>
        </w:r>
      </w:hyperlink>
      <w:r w:rsidRPr="00C16623">
        <w:rPr>
          <w:rFonts w:ascii="Times New Roman" w:hAnsi="Times New Roman" w:cs="Times New Roman"/>
          <w:sz w:val="24"/>
          <w:szCs w:val="22"/>
          <w:lang w:eastAsia="en-IN"/>
        </w:rPr>
        <w:t xml:space="preserve"> </w:t>
      </w:r>
    </w:p>
    <w:p w14:paraId="20288250" w14:textId="77777777" w:rsidR="00C16623" w:rsidRPr="00C16623" w:rsidRDefault="00C16623" w:rsidP="00C16623">
      <w:pPr>
        <w:pStyle w:val="ListParagraph"/>
        <w:numPr>
          <w:ilvl w:val="0"/>
          <w:numId w:val="5"/>
        </w:numPr>
        <w:spacing w:after="0" w:line="360" w:lineRule="auto"/>
        <w:jc w:val="both"/>
        <w:rPr>
          <w:rStyle w:val="Hyperlink"/>
          <w:rFonts w:ascii="Times New Roman" w:hAnsi="Times New Roman" w:cs="Times New Roman"/>
          <w:color w:val="auto"/>
          <w:sz w:val="24"/>
          <w:szCs w:val="22"/>
          <w:u w:val="none"/>
          <w:lang w:eastAsia="en-IN"/>
        </w:rPr>
      </w:pPr>
      <w:proofErr w:type="spellStart"/>
      <w:r w:rsidRPr="00C16623">
        <w:rPr>
          <w:rFonts w:ascii="Times New Roman" w:hAnsi="Times New Roman" w:cs="Times New Roman"/>
          <w:color w:val="000000"/>
          <w:sz w:val="24"/>
          <w:szCs w:val="22"/>
        </w:rPr>
        <w:t>Woźniak</w:t>
      </w:r>
      <w:proofErr w:type="spellEnd"/>
      <w:r w:rsidRPr="00C16623">
        <w:rPr>
          <w:rFonts w:ascii="Times New Roman" w:hAnsi="Times New Roman" w:cs="Times New Roman"/>
          <w:color w:val="000000"/>
          <w:sz w:val="24"/>
          <w:szCs w:val="22"/>
        </w:rPr>
        <w:t xml:space="preserve">, Ł., </w:t>
      </w:r>
      <w:proofErr w:type="spellStart"/>
      <w:r w:rsidRPr="00C16623">
        <w:rPr>
          <w:rFonts w:ascii="Times New Roman" w:hAnsi="Times New Roman" w:cs="Times New Roman"/>
          <w:color w:val="000000"/>
          <w:sz w:val="24"/>
          <w:szCs w:val="22"/>
        </w:rPr>
        <w:t>Szczepańska</w:t>
      </w:r>
      <w:proofErr w:type="spellEnd"/>
      <w:r w:rsidRPr="00C16623">
        <w:rPr>
          <w:rFonts w:ascii="Times New Roman" w:hAnsi="Times New Roman" w:cs="Times New Roman"/>
          <w:color w:val="000000"/>
          <w:sz w:val="24"/>
          <w:szCs w:val="22"/>
        </w:rPr>
        <w:t xml:space="preserve">, J., </w:t>
      </w:r>
      <w:proofErr w:type="spellStart"/>
      <w:r w:rsidRPr="00C16623">
        <w:rPr>
          <w:rFonts w:ascii="Times New Roman" w:hAnsi="Times New Roman" w:cs="Times New Roman"/>
          <w:color w:val="000000"/>
          <w:sz w:val="24"/>
          <w:szCs w:val="22"/>
        </w:rPr>
        <w:t>Roszko</w:t>
      </w:r>
      <w:proofErr w:type="spellEnd"/>
      <w:r w:rsidRPr="00C16623">
        <w:rPr>
          <w:rFonts w:ascii="Times New Roman" w:hAnsi="Times New Roman" w:cs="Times New Roman"/>
          <w:color w:val="000000"/>
          <w:sz w:val="24"/>
          <w:szCs w:val="22"/>
        </w:rPr>
        <w:t xml:space="preserve">, M., &amp; </w:t>
      </w:r>
      <w:proofErr w:type="spellStart"/>
      <w:r w:rsidRPr="00C16623">
        <w:rPr>
          <w:rFonts w:ascii="Times New Roman" w:hAnsi="Times New Roman" w:cs="Times New Roman"/>
          <w:color w:val="000000"/>
          <w:sz w:val="24"/>
          <w:szCs w:val="22"/>
        </w:rPr>
        <w:t>Skąpska</w:t>
      </w:r>
      <w:proofErr w:type="spellEnd"/>
      <w:r w:rsidRPr="00C16623">
        <w:rPr>
          <w:rFonts w:ascii="Times New Roman" w:hAnsi="Times New Roman" w:cs="Times New Roman"/>
          <w:color w:val="000000"/>
          <w:sz w:val="24"/>
          <w:szCs w:val="22"/>
        </w:rPr>
        <w:t xml:space="preserve">, S. (2020). Occurrence of maltose in apple juices: Improved method of analysis, typical levels, and factors affecting it. </w:t>
      </w:r>
      <w:r w:rsidRPr="00C16623">
        <w:rPr>
          <w:rFonts w:ascii="Times New Roman" w:hAnsi="Times New Roman" w:cs="Times New Roman"/>
          <w:i/>
          <w:color w:val="000000"/>
          <w:sz w:val="24"/>
          <w:szCs w:val="22"/>
        </w:rPr>
        <w:t>LWT</w:t>
      </w:r>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124</w:t>
      </w:r>
      <w:r w:rsidRPr="00C16623">
        <w:rPr>
          <w:rFonts w:ascii="Times New Roman" w:hAnsi="Times New Roman" w:cs="Times New Roman"/>
          <w:color w:val="000000"/>
          <w:sz w:val="24"/>
          <w:szCs w:val="22"/>
        </w:rPr>
        <w:t xml:space="preserve">, 109154. </w:t>
      </w:r>
      <w:hyperlink r:id="rId22" w:history="1">
        <w:r w:rsidRPr="00C16623">
          <w:rPr>
            <w:rStyle w:val="Hyperlink"/>
            <w:rFonts w:ascii="Times New Roman" w:hAnsi="Times New Roman" w:cs="Times New Roman"/>
            <w:sz w:val="24"/>
            <w:szCs w:val="22"/>
          </w:rPr>
          <w:t>https://doi.org/10.1016/j.lwt.2020.109154</w:t>
        </w:r>
      </w:hyperlink>
    </w:p>
    <w:p w14:paraId="4D1C049D"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3D297A">
        <w:rPr>
          <w:rFonts w:ascii="Times New Roman" w:hAnsi="Times New Roman" w:cs="Times New Roman"/>
          <w:color w:val="000000"/>
          <w:sz w:val="24"/>
          <w:szCs w:val="22"/>
          <w:lang w:val="de-DE"/>
        </w:rPr>
        <w:t xml:space="preserve">Dunmire, D. L., &amp; Otto, S. E. (1979). </w:t>
      </w:r>
      <w:r w:rsidRPr="00C16623">
        <w:rPr>
          <w:rFonts w:ascii="Times New Roman" w:hAnsi="Times New Roman" w:cs="Times New Roman"/>
          <w:color w:val="000000"/>
          <w:sz w:val="24"/>
          <w:szCs w:val="22"/>
        </w:rPr>
        <w:t xml:space="preserve">High Pressure Liquid Chromatographic Determination of Sugars in Various Food Products. </w:t>
      </w:r>
      <w:r w:rsidRPr="00C16623">
        <w:rPr>
          <w:rFonts w:ascii="Times New Roman" w:hAnsi="Times New Roman" w:cs="Times New Roman"/>
          <w:i/>
          <w:color w:val="000000"/>
          <w:sz w:val="24"/>
          <w:szCs w:val="22"/>
        </w:rPr>
        <w:t>Journal of AOAC INTERNATIONAL</w:t>
      </w:r>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62</w:t>
      </w:r>
      <w:r w:rsidRPr="00C16623">
        <w:rPr>
          <w:rFonts w:ascii="Times New Roman" w:hAnsi="Times New Roman" w:cs="Times New Roman"/>
          <w:color w:val="000000"/>
          <w:sz w:val="24"/>
          <w:szCs w:val="22"/>
        </w:rPr>
        <w:t xml:space="preserve">(1), 176–185. </w:t>
      </w:r>
      <w:hyperlink r:id="rId23" w:history="1">
        <w:r w:rsidRPr="00C16623">
          <w:rPr>
            <w:rStyle w:val="Hyperlink"/>
            <w:rFonts w:ascii="Times New Roman" w:hAnsi="Times New Roman" w:cs="Times New Roman"/>
            <w:sz w:val="24"/>
            <w:szCs w:val="22"/>
          </w:rPr>
          <w:t>https://doi.org/10.1093/jaoac/62.1.176</w:t>
        </w:r>
      </w:hyperlink>
    </w:p>
    <w:p w14:paraId="46E9EBCD"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proofErr w:type="spellStart"/>
      <w:r w:rsidRPr="00C16623">
        <w:rPr>
          <w:rFonts w:ascii="Times New Roman" w:hAnsi="Times New Roman" w:cs="Times New Roman"/>
          <w:color w:val="000000"/>
          <w:sz w:val="24"/>
          <w:szCs w:val="22"/>
        </w:rPr>
        <w:t>Mcloughlin</w:t>
      </w:r>
      <w:proofErr w:type="spellEnd"/>
      <w:r w:rsidRPr="00C16623">
        <w:rPr>
          <w:rFonts w:ascii="Times New Roman" w:hAnsi="Times New Roman" w:cs="Times New Roman"/>
          <w:color w:val="000000"/>
          <w:sz w:val="24"/>
          <w:szCs w:val="22"/>
        </w:rPr>
        <w:t xml:space="preserve">, C., </w:t>
      </w:r>
      <w:proofErr w:type="spellStart"/>
      <w:r w:rsidRPr="00C16623">
        <w:rPr>
          <w:rFonts w:ascii="Times New Roman" w:hAnsi="Times New Roman" w:cs="Times New Roman"/>
          <w:color w:val="000000"/>
          <w:sz w:val="24"/>
          <w:szCs w:val="22"/>
        </w:rPr>
        <w:t>Mccleary</w:t>
      </w:r>
      <w:proofErr w:type="spellEnd"/>
      <w:r w:rsidRPr="00C16623">
        <w:rPr>
          <w:rFonts w:ascii="Times New Roman" w:hAnsi="Times New Roman" w:cs="Times New Roman"/>
          <w:color w:val="000000"/>
          <w:sz w:val="24"/>
          <w:szCs w:val="22"/>
        </w:rPr>
        <w:t xml:space="preserve">, B. V., &amp; </w:t>
      </w:r>
      <w:proofErr w:type="spellStart"/>
      <w:r w:rsidRPr="00C16623">
        <w:rPr>
          <w:rFonts w:ascii="Times New Roman" w:hAnsi="Times New Roman" w:cs="Times New Roman"/>
          <w:color w:val="000000"/>
          <w:sz w:val="24"/>
          <w:szCs w:val="22"/>
        </w:rPr>
        <w:t>Mckie</w:t>
      </w:r>
      <w:proofErr w:type="spellEnd"/>
      <w:r w:rsidRPr="00C16623">
        <w:rPr>
          <w:rFonts w:ascii="Times New Roman" w:hAnsi="Times New Roman" w:cs="Times New Roman"/>
          <w:color w:val="000000"/>
          <w:sz w:val="24"/>
          <w:szCs w:val="22"/>
        </w:rPr>
        <w:t xml:space="preserve">, V. A. (2022). Validation of the Test Method-Determination of Available Carbohydrates in Cereal and Cereal Products, Dairy Products, Vegetables, Fruit, and Related Food Products and Animal Feeds: Collaborative Study, Final Action 2020.07. </w:t>
      </w:r>
      <w:r w:rsidRPr="00C16623">
        <w:rPr>
          <w:rFonts w:ascii="Times New Roman" w:hAnsi="Times New Roman" w:cs="Times New Roman"/>
          <w:i/>
          <w:color w:val="000000"/>
          <w:sz w:val="24"/>
          <w:szCs w:val="22"/>
        </w:rPr>
        <w:t>Journal of AOAC International</w:t>
      </w:r>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106</w:t>
      </w:r>
      <w:r w:rsidRPr="00C16623">
        <w:rPr>
          <w:rFonts w:ascii="Times New Roman" w:hAnsi="Times New Roman" w:cs="Times New Roman"/>
          <w:color w:val="000000"/>
          <w:sz w:val="24"/>
          <w:szCs w:val="22"/>
        </w:rPr>
        <w:t xml:space="preserve">(2), 370–383. </w:t>
      </w:r>
      <w:hyperlink r:id="rId24" w:history="1">
        <w:r w:rsidRPr="00C16623">
          <w:rPr>
            <w:rStyle w:val="Hyperlink"/>
            <w:rFonts w:ascii="Times New Roman" w:hAnsi="Times New Roman" w:cs="Times New Roman"/>
            <w:sz w:val="24"/>
            <w:szCs w:val="22"/>
          </w:rPr>
          <w:t>https://doi.org/10.1093/jaoacint/qsac116</w:t>
        </w:r>
      </w:hyperlink>
    </w:p>
    <w:p w14:paraId="1707FF7A"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sz w:val="24"/>
          <w:szCs w:val="22"/>
          <w:lang w:eastAsia="en-IN"/>
        </w:rPr>
      </w:pPr>
      <w:r w:rsidRPr="00C16623">
        <w:rPr>
          <w:rFonts w:ascii="Times New Roman" w:hAnsi="Times New Roman" w:cs="Times New Roman"/>
          <w:sz w:val="24"/>
          <w:szCs w:val="22"/>
          <w:lang w:eastAsia="en-IN"/>
        </w:rPr>
        <w:t xml:space="preserve">Hassid, W., &amp; </w:t>
      </w:r>
      <w:proofErr w:type="spellStart"/>
      <w:r w:rsidRPr="00C16623">
        <w:rPr>
          <w:rFonts w:ascii="Times New Roman" w:hAnsi="Times New Roman" w:cs="Times New Roman"/>
          <w:sz w:val="24"/>
          <w:szCs w:val="22"/>
          <w:lang w:eastAsia="en-IN"/>
        </w:rPr>
        <w:t>McCready</w:t>
      </w:r>
      <w:proofErr w:type="spellEnd"/>
      <w:r w:rsidRPr="00C16623">
        <w:rPr>
          <w:rFonts w:ascii="Times New Roman" w:hAnsi="Times New Roman" w:cs="Times New Roman"/>
          <w:sz w:val="24"/>
          <w:szCs w:val="22"/>
          <w:lang w:eastAsia="en-IN"/>
        </w:rPr>
        <w:t xml:space="preserve">, R. (1942). Identification of Sugars by Microscopic Appearance of Crystalline </w:t>
      </w:r>
      <w:proofErr w:type="spellStart"/>
      <w:r w:rsidRPr="00C16623">
        <w:rPr>
          <w:rFonts w:ascii="Times New Roman" w:hAnsi="Times New Roman" w:cs="Times New Roman"/>
          <w:sz w:val="24"/>
          <w:szCs w:val="22"/>
          <w:lang w:eastAsia="en-IN"/>
        </w:rPr>
        <w:t>Osazones</w:t>
      </w:r>
      <w:proofErr w:type="spellEnd"/>
      <w:r w:rsidRPr="00C16623">
        <w:rPr>
          <w:rFonts w:ascii="Times New Roman" w:hAnsi="Times New Roman" w:cs="Times New Roman"/>
          <w:sz w:val="24"/>
          <w:szCs w:val="22"/>
          <w:lang w:eastAsia="en-IN"/>
        </w:rPr>
        <w:t xml:space="preserve">. </w:t>
      </w:r>
      <w:r w:rsidRPr="00C16623">
        <w:rPr>
          <w:rFonts w:ascii="Times New Roman" w:hAnsi="Times New Roman" w:cs="Times New Roman"/>
          <w:i/>
          <w:iCs/>
          <w:sz w:val="24"/>
          <w:szCs w:val="22"/>
          <w:lang w:eastAsia="en-IN"/>
        </w:rPr>
        <w:t>Industrial &amp; Engineering Chemistry Analytical Edition</w:t>
      </w:r>
      <w:r w:rsidRPr="00C16623">
        <w:rPr>
          <w:rFonts w:ascii="Times New Roman" w:hAnsi="Times New Roman" w:cs="Times New Roman"/>
          <w:sz w:val="24"/>
          <w:szCs w:val="22"/>
          <w:lang w:eastAsia="en-IN"/>
        </w:rPr>
        <w:t xml:space="preserve">, </w:t>
      </w:r>
      <w:r w:rsidRPr="00C16623">
        <w:rPr>
          <w:rFonts w:ascii="Times New Roman" w:hAnsi="Times New Roman" w:cs="Times New Roman"/>
          <w:i/>
          <w:iCs/>
          <w:sz w:val="24"/>
          <w:szCs w:val="22"/>
          <w:lang w:eastAsia="en-IN"/>
        </w:rPr>
        <w:t>14</w:t>
      </w:r>
      <w:r w:rsidRPr="00C16623">
        <w:rPr>
          <w:rFonts w:ascii="Times New Roman" w:hAnsi="Times New Roman" w:cs="Times New Roman"/>
          <w:sz w:val="24"/>
          <w:szCs w:val="22"/>
          <w:lang w:eastAsia="en-IN"/>
        </w:rPr>
        <w:t xml:space="preserve">(8), 683–686. </w:t>
      </w:r>
      <w:hyperlink r:id="rId25" w:history="1">
        <w:r w:rsidRPr="00C16623">
          <w:rPr>
            <w:rStyle w:val="Hyperlink"/>
            <w:rFonts w:ascii="Times New Roman" w:hAnsi="Times New Roman" w:cs="Times New Roman"/>
            <w:sz w:val="24"/>
            <w:szCs w:val="22"/>
            <w:lang w:eastAsia="en-IN"/>
          </w:rPr>
          <w:t>https://doi.org/10.1021/i560108a025</w:t>
        </w:r>
      </w:hyperlink>
      <w:r w:rsidRPr="00C16623">
        <w:rPr>
          <w:rFonts w:ascii="Times New Roman" w:hAnsi="Times New Roman" w:cs="Times New Roman"/>
          <w:sz w:val="24"/>
          <w:szCs w:val="22"/>
          <w:lang w:eastAsia="en-IN"/>
        </w:rPr>
        <w:t xml:space="preserve"> </w:t>
      </w:r>
    </w:p>
    <w:p w14:paraId="28E0A34B"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sz w:val="24"/>
          <w:szCs w:val="22"/>
          <w:lang w:eastAsia="en-IN"/>
        </w:rPr>
      </w:pPr>
      <w:r w:rsidRPr="00C16623">
        <w:rPr>
          <w:rFonts w:ascii="Times New Roman" w:hAnsi="Times New Roman" w:cs="Times New Roman"/>
          <w:sz w:val="24"/>
          <w:szCs w:val="22"/>
          <w:lang w:eastAsia="en-IN"/>
        </w:rPr>
        <w:t xml:space="preserve">Rolfe, Geo. W., &amp; Haddock, I. T. (1903). THE PRESENCE OF MALTOSE IN ACID-HYDROLYZED STARCH PRODUCTS. </w:t>
      </w:r>
      <w:r w:rsidRPr="00C16623">
        <w:rPr>
          <w:rFonts w:ascii="Times New Roman" w:hAnsi="Times New Roman" w:cs="Times New Roman"/>
          <w:i/>
          <w:iCs/>
          <w:sz w:val="24"/>
          <w:szCs w:val="22"/>
          <w:lang w:eastAsia="en-IN"/>
        </w:rPr>
        <w:t>Journal of the American Chemical Society</w:t>
      </w:r>
      <w:r w:rsidRPr="00C16623">
        <w:rPr>
          <w:rFonts w:ascii="Times New Roman" w:hAnsi="Times New Roman" w:cs="Times New Roman"/>
          <w:sz w:val="24"/>
          <w:szCs w:val="22"/>
          <w:lang w:eastAsia="en-IN"/>
        </w:rPr>
        <w:t xml:space="preserve">, </w:t>
      </w:r>
      <w:r w:rsidRPr="00C16623">
        <w:rPr>
          <w:rFonts w:ascii="Times New Roman" w:hAnsi="Times New Roman" w:cs="Times New Roman"/>
          <w:i/>
          <w:iCs/>
          <w:sz w:val="24"/>
          <w:szCs w:val="22"/>
          <w:lang w:eastAsia="en-IN"/>
        </w:rPr>
        <w:t>25</w:t>
      </w:r>
      <w:r w:rsidRPr="00C16623">
        <w:rPr>
          <w:rFonts w:ascii="Times New Roman" w:hAnsi="Times New Roman" w:cs="Times New Roman"/>
          <w:sz w:val="24"/>
          <w:szCs w:val="22"/>
          <w:lang w:eastAsia="en-IN"/>
        </w:rPr>
        <w:t xml:space="preserve">(10), 1015–1019. </w:t>
      </w:r>
      <w:hyperlink r:id="rId26" w:history="1">
        <w:r w:rsidRPr="00C16623">
          <w:rPr>
            <w:rStyle w:val="Hyperlink"/>
            <w:rFonts w:ascii="Times New Roman" w:hAnsi="Times New Roman" w:cs="Times New Roman"/>
            <w:sz w:val="24"/>
            <w:szCs w:val="22"/>
            <w:lang w:eastAsia="en-IN"/>
          </w:rPr>
          <w:t>https://doi.org/10.1021/ja02012a002</w:t>
        </w:r>
      </w:hyperlink>
      <w:r w:rsidRPr="00C16623">
        <w:rPr>
          <w:rFonts w:ascii="Times New Roman" w:hAnsi="Times New Roman" w:cs="Times New Roman"/>
          <w:sz w:val="24"/>
          <w:szCs w:val="22"/>
          <w:rtl/>
          <w:cs/>
          <w:lang w:eastAsia="en-IN"/>
        </w:rPr>
        <w:t xml:space="preserve"> </w:t>
      </w:r>
    </w:p>
    <w:p w14:paraId="4CE54205" w14:textId="77777777" w:rsidR="00C16623" w:rsidRPr="00C16623" w:rsidRDefault="00C16623" w:rsidP="00C16623">
      <w:pPr>
        <w:pStyle w:val="ListParagraph"/>
        <w:numPr>
          <w:ilvl w:val="0"/>
          <w:numId w:val="5"/>
        </w:numPr>
        <w:spacing w:after="0" w:line="360" w:lineRule="auto"/>
        <w:jc w:val="both"/>
        <w:rPr>
          <w:rStyle w:val="Hyperlink"/>
          <w:rFonts w:ascii="Times New Roman" w:hAnsi="Times New Roman" w:cs="Times New Roman"/>
          <w:color w:val="auto"/>
          <w:sz w:val="24"/>
          <w:szCs w:val="22"/>
          <w:u w:val="none"/>
          <w:lang w:eastAsia="en-IN"/>
        </w:rPr>
      </w:pPr>
      <w:r w:rsidRPr="00C16623">
        <w:rPr>
          <w:rFonts w:ascii="Times New Roman" w:hAnsi="Times New Roman" w:cs="Times New Roman"/>
          <w:sz w:val="24"/>
          <w:szCs w:val="22"/>
          <w:lang w:eastAsia="en-IN"/>
        </w:rPr>
        <w:t xml:space="preserve">Baker, J. L., &amp; Dick, W. D. (1905). The detection and estimation of small quantities of maltose in the presence of dextrose. </w:t>
      </w:r>
      <w:r w:rsidRPr="00C16623">
        <w:rPr>
          <w:rFonts w:ascii="Times New Roman" w:hAnsi="Times New Roman" w:cs="Times New Roman"/>
          <w:i/>
          <w:iCs/>
          <w:sz w:val="24"/>
          <w:szCs w:val="22"/>
          <w:lang w:eastAsia="en-IN"/>
        </w:rPr>
        <w:t>Analyst</w:t>
      </w:r>
      <w:r w:rsidRPr="00C16623">
        <w:rPr>
          <w:rFonts w:ascii="Times New Roman" w:hAnsi="Times New Roman" w:cs="Times New Roman"/>
          <w:sz w:val="24"/>
          <w:szCs w:val="22"/>
          <w:lang w:eastAsia="en-IN"/>
        </w:rPr>
        <w:t xml:space="preserve">, </w:t>
      </w:r>
      <w:r w:rsidRPr="00C16623">
        <w:rPr>
          <w:rFonts w:ascii="Times New Roman" w:hAnsi="Times New Roman" w:cs="Times New Roman"/>
          <w:i/>
          <w:iCs/>
          <w:sz w:val="24"/>
          <w:szCs w:val="22"/>
          <w:lang w:eastAsia="en-IN"/>
        </w:rPr>
        <w:t>30</w:t>
      </w:r>
      <w:r w:rsidRPr="00C16623">
        <w:rPr>
          <w:rFonts w:ascii="Times New Roman" w:hAnsi="Times New Roman" w:cs="Times New Roman"/>
          <w:sz w:val="24"/>
          <w:szCs w:val="22"/>
          <w:lang w:eastAsia="en-IN"/>
        </w:rPr>
        <w:t xml:space="preserve">(348), 79–85. </w:t>
      </w:r>
      <w:hyperlink r:id="rId27" w:history="1">
        <w:r w:rsidRPr="00C16623">
          <w:rPr>
            <w:rStyle w:val="Hyperlink"/>
            <w:rFonts w:ascii="Times New Roman" w:hAnsi="Times New Roman" w:cs="Times New Roman"/>
            <w:sz w:val="24"/>
            <w:szCs w:val="22"/>
            <w:lang w:eastAsia="en-IN"/>
          </w:rPr>
          <w:t>https://doi.org/10.1039/AN9053000079</w:t>
        </w:r>
      </w:hyperlink>
    </w:p>
    <w:p w14:paraId="1222A87D"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sz w:val="24"/>
          <w:szCs w:val="22"/>
          <w:lang w:eastAsia="en-IN"/>
        </w:rPr>
      </w:pPr>
      <w:r w:rsidRPr="00C16623">
        <w:rPr>
          <w:rFonts w:ascii="Times New Roman" w:hAnsi="Times New Roman" w:cs="Times New Roman"/>
          <w:sz w:val="24"/>
          <w:szCs w:val="22"/>
          <w:lang w:eastAsia="en-IN"/>
        </w:rPr>
        <w:t xml:space="preserve">Percival, E. E., &amp; Percival, E. G. v. (1937). 268. Sugar </w:t>
      </w:r>
      <w:proofErr w:type="spellStart"/>
      <w:r w:rsidRPr="00C16623">
        <w:rPr>
          <w:rFonts w:ascii="Times New Roman" w:hAnsi="Times New Roman" w:cs="Times New Roman"/>
          <w:sz w:val="24"/>
          <w:szCs w:val="22"/>
          <w:lang w:eastAsia="en-IN"/>
        </w:rPr>
        <w:t>osazones</w:t>
      </w:r>
      <w:proofErr w:type="spellEnd"/>
      <w:r w:rsidRPr="00C16623">
        <w:rPr>
          <w:rFonts w:ascii="Times New Roman" w:hAnsi="Times New Roman" w:cs="Times New Roman"/>
          <w:sz w:val="24"/>
          <w:szCs w:val="22"/>
          <w:lang w:eastAsia="en-IN"/>
        </w:rPr>
        <w:t xml:space="preserve"> and their anhydrides. </w:t>
      </w:r>
      <w:r w:rsidRPr="00C16623">
        <w:rPr>
          <w:rFonts w:ascii="Times New Roman" w:hAnsi="Times New Roman" w:cs="Times New Roman"/>
          <w:i/>
          <w:iCs/>
          <w:sz w:val="24"/>
          <w:szCs w:val="22"/>
          <w:lang w:eastAsia="en-IN"/>
        </w:rPr>
        <w:t>Journal of the Chemical Society (Resumed)</w:t>
      </w:r>
      <w:r w:rsidRPr="00C16623">
        <w:rPr>
          <w:rFonts w:ascii="Times New Roman" w:hAnsi="Times New Roman" w:cs="Times New Roman"/>
          <w:sz w:val="24"/>
          <w:szCs w:val="22"/>
          <w:lang w:eastAsia="en-IN"/>
        </w:rPr>
        <w:t xml:space="preserve">, </w:t>
      </w:r>
      <w:r w:rsidRPr="00C16623">
        <w:rPr>
          <w:rFonts w:ascii="Times New Roman" w:hAnsi="Times New Roman" w:cs="Times New Roman"/>
          <w:i/>
          <w:iCs/>
          <w:sz w:val="24"/>
          <w:szCs w:val="22"/>
          <w:lang w:eastAsia="en-IN"/>
        </w:rPr>
        <w:t>0</w:t>
      </w:r>
      <w:r w:rsidRPr="00C16623">
        <w:rPr>
          <w:rFonts w:ascii="Times New Roman" w:hAnsi="Times New Roman" w:cs="Times New Roman"/>
          <w:sz w:val="24"/>
          <w:szCs w:val="22"/>
          <w:lang w:eastAsia="en-IN"/>
        </w:rPr>
        <w:t xml:space="preserve">, 1320–1325. </w:t>
      </w:r>
      <w:hyperlink r:id="rId28" w:history="1">
        <w:r w:rsidRPr="00C16623">
          <w:rPr>
            <w:rStyle w:val="Hyperlink"/>
            <w:rFonts w:ascii="Times New Roman" w:hAnsi="Times New Roman" w:cs="Times New Roman"/>
            <w:sz w:val="24"/>
            <w:szCs w:val="22"/>
            <w:lang w:eastAsia="en-IN"/>
          </w:rPr>
          <w:t>https://doi.org/10.1039/JR9370001320</w:t>
        </w:r>
      </w:hyperlink>
      <w:r w:rsidRPr="00C16623">
        <w:rPr>
          <w:rFonts w:ascii="Times New Roman" w:hAnsi="Times New Roman" w:cs="Times New Roman"/>
          <w:sz w:val="24"/>
          <w:szCs w:val="22"/>
          <w:lang w:eastAsia="en-IN"/>
        </w:rPr>
        <w:t xml:space="preserve"> </w:t>
      </w:r>
    </w:p>
    <w:p w14:paraId="56A681C0" w14:textId="77777777" w:rsidR="00C16623" w:rsidRPr="00B564F5" w:rsidRDefault="00C16623" w:rsidP="00C16623">
      <w:pPr>
        <w:pStyle w:val="ListParagraph"/>
        <w:numPr>
          <w:ilvl w:val="0"/>
          <w:numId w:val="5"/>
        </w:numPr>
        <w:spacing w:after="0" w:line="360" w:lineRule="auto"/>
        <w:jc w:val="both"/>
        <w:rPr>
          <w:rFonts w:ascii="Times New Roman" w:hAnsi="Times New Roman" w:cs="Times New Roman"/>
          <w:sz w:val="24"/>
          <w:szCs w:val="22"/>
          <w:lang w:eastAsia="en-IN"/>
        </w:rPr>
      </w:pPr>
      <w:r w:rsidRPr="00C16623">
        <w:rPr>
          <w:rFonts w:ascii="Times New Roman" w:hAnsi="Times New Roman" w:cs="Times New Roman"/>
          <w:color w:val="222222"/>
          <w:sz w:val="24"/>
          <w:szCs w:val="22"/>
          <w:shd w:val="clear" w:color="auto" w:fill="FFFFFF"/>
        </w:rPr>
        <w:t xml:space="preserve">Herzfeld, E. (1932). Glycosuria and </w:t>
      </w:r>
      <w:proofErr w:type="spellStart"/>
      <w:r w:rsidRPr="00C16623">
        <w:rPr>
          <w:rFonts w:ascii="Times New Roman" w:hAnsi="Times New Roman" w:cs="Times New Roman"/>
          <w:color w:val="222222"/>
          <w:sz w:val="24"/>
          <w:szCs w:val="22"/>
          <w:shd w:val="clear" w:color="auto" w:fill="FFFFFF"/>
        </w:rPr>
        <w:t>maltosuria</w:t>
      </w:r>
      <w:proofErr w:type="spellEnd"/>
      <w:r w:rsidRPr="00C16623">
        <w:rPr>
          <w:rFonts w:ascii="Times New Roman" w:hAnsi="Times New Roman" w:cs="Times New Roman"/>
          <w:color w:val="222222"/>
          <w:sz w:val="24"/>
          <w:szCs w:val="22"/>
          <w:shd w:val="clear" w:color="auto" w:fill="FFFFFF"/>
        </w:rPr>
        <w:t xml:space="preserve">. </w:t>
      </w:r>
    </w:p>
    <w:p w14:paraId="694F47A0" w14:textId="669B62B6" w:rsidR="00B564F5" w:rsidRDefault="00B564F5" w:rsidP="00B564F5">
      <w:pPr>
        <w:numPr>
          <w:ilvl w:val="0"/>
          <w:numId w:val="5"/>
        </w:numPr>
        <w:spacing w:line="360" w:lineRule="auto"/>
        <w:jc w:val="both"/>
        <w:rPr>
          <w:color w:val="000000"/>
        </w:rPr>
      </w:pPr>
      <w:r w:rsidRPr="00B564F5">
        <w:rPr>
          <w:color w:val="000000"/>
          <w:highlight w:val="yellow"/>
        </w:rPr>
        <w:t xml:space="preserve">Frayne, R. F. (1986). Direct Analysis of the Major Organic Components in Grape Must and Wine Using High Performance Liquid Chromatography. </w:t>
      </w:r>
      <w:r w:rsidRPr="00B564F5">
        <w:rPr>
          <w:i/>
          <w:color w:val="000000"/>
          <w:highlight w:val="yellow"/>
        </w:rPr>
        <w:t>American Journal of Enology and Viticulture</w:t>
      </w:r>
      <w:r w:rsidRPr="00B564F5">
        <w:rPr>
          <w:color w:val="000000"/>
          <w:highlight w:val="yellow"/>
        </w:rPr>
        <w:t xml:space="preserve">, </w:t>
      </w:r>
      <w:r w:rsidRPr="00B564F5">
        <w:rPr>
          <w:i/>
          <w:color w:val="000000"/>
          <w:highlight w:val="yellow"/>
        </w:rPr>
        <w:t>37</w:t>
      </w:r>
      <w:r w:rsidRPr="00B564F5">
        <w:rPr>
          <w:color w:val="000000"/>
          <w:highlight w:val="yellow"/>
        </w:rPr>
        <w:t xml:space="preserve">(4), 281–287. </w:t>
      </w:r>
      <w:hyperlink r:id="rId29" w:history="1">
        <w:r w:rsidRPr="00B564F5">
          <w:rPr>
            <w:rStyle w:val="Hyperlink"/>
            <w:highlight w:val="yellow"/>
          </w:rPr>
          <w:t>https://doi.org/10.5344/ajev.1986.37.4.281</w:t>
        </w:r>
      </w:hyperlink>
      <w:r>
        <w:rPr>
          <w:color w:val="000000"/>
        </w:rPr>
        <w:t xml:space="preserve"> </w:t>
      </w:r>
    </w:p>
    <w:p w14:paraId="7A88B331" w14:textId="77777777" w:rsidR="00B564F5" w:rsidRPr="00C16623" w:rsidRDefault="00B564F5" w:rsidP="00B564F5">
      <w:pPr>
        <w:pStyle w:val="ListParagraph"/>
        <w:spacing w:after="0" w:line="360" w:lineRule="auto"/>
        <w:jc w:val="both"/>
        <w:rPr>
          <w:rFonts w:ascii="Times New Roman" w:hAnsi="Times New Roman" w:cs="Times New Roman"/>
          <w:sz w:val="24"/>
          <w:szCs w:val="22"/>
          <w:lang w:eastAsia="en-IN"/>
        </w:rPr>
      </w:pPr>
    </w:p>
    <w:p w14:paraId="4CCC8162"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sz w:val="24"/>
          <w:szCs w:val="22"/>
          <w:lang w:eastAsia="en-IN"/>
        </w:rPr>
      </w:pPr>
      <w:proofErr w:type="spellStart"/>
      <w:r w:rsidRPr="00C16623">
        <w:rPr>
          <w:rFonts w:ascii="Times New Roman" w:hAnsi="Times New Roman" w:cs="Times New Roman"/>
          <w:sz w:val="24"/>
          <w:szCs w:val="22"/>
          <w:lang w:eastAsia="en-IN"/>
        </w:rPr>
        <w:t>Jöroensen</w:t>
      </w:r>
      <w:proofErr w:type="spellEnd"/>
      <w:r w:rsidRPr="00C16623">
        <w:rPr>
          <w:rFonts w:ascii="Times New Roman" w:hAnsi="Times New Roman" w:cs="Times New Roman"/>
          <w:sz w:val="24"/>
          <w:szCs w:val="22"/>
          <w:lang w:eastAsia="en-IN"/>
        </w:rPr>
        <w:t xml:space="preserve">, I., &amp; </w:t>
      </w:r>
      <w:proofErr w:type="spellStart"/>
      <w:r w:rsidRPr="00C16623">
        <w:rPr>
          <w:rFonts w:ascii="Times New Roman" w:hAnsi="Times New Roman" w:cs="Times New Roman"/>
          <w:sz w:val="24"/>
          <w:szCs w:val="22"/>
          <w:lang w:eastAsia="en-IN"/>
        </w:rPr>
        <w:t>Stilbs</w:t>
      </w:r>
      <w:proofErr w:type="spellEnd"/>
      <w:r w:rsidRPr="00C16623">
        <w:rPr>
          <w:rFonts w:ascii="Times New Roman" w:hAnsi="Times New Roman" w:cs="Times New Roman"/>
          <w:sz w:val="24"/>
          <w:szCs w:val="22"/>
          <w:lang w:eastAsia="en-IN"/>
        </w:rPr>
        <w:t xml:space="preserve">, W. (1918). THE OSAZONE METHOD FOR DETECTING SUGARS IN PLANT TISSUES. New </w:t>
      </w:r>
      <w:proofErr w:type="spellStart"/>
      <w:r w:rsidRPr="00C16623">
        <w:rPr>
          <w:rFonts w:ascii="Times New Roman" w:hAnsi="Times New Roman" w:cs="Times New Roman"/>
          <w:sz w:val="24"/>
          <w:szCs w:val="22"/>
          <w:lang w:eastAsia="en-IN"/>
        </w:rPr>
        <w:t>Phytologist</w:t>
      </w:r>
      <w:proofErr w:type="spellEnd"/>
      <w:r w:rsidRPr="00C16623">
        <w:rPr>
          <w:rFonts w:ascii="Times New Roman" w:hAnsi="Times New Roman" w:cs="Times New Roman"/>
          <w:sz w:val="24"/>
          <w:szCs w:val="22"/>
          <w:lang w:eastAsia="en-IN"/>
        </w:rPr>
        <w:t xml:space="preserve">, 17(1‐2), 45-45.  </w:t>
      </w:r>
    </w:p>
    <w:p w14:paraId="5C8C7640" w14:textId="77777777" w:rsidR="00841925" w:rsidRPr="00C16623" w:rsidRDefault="00841925" w:rsidP="00841925">
      <w:pPr>
        <w:spacing w:line="360" w:lineRule="auto"/>
        <w:jc w:val="both"/>
        <w:rPr>
          <w:rStyle w:val="Hyperlink"/>
          <w:sz w:val="28"/>
          <w:szCs w:val="28"/>
        </w:rPr>
      </w:pPr>
    </w:p>
    <w:sectPr w:rsidR="00841925" w:rsidRPr="00C16623">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05735" w14:textId="77777777" w:rsidR="007E5E21" w:rsidRDefault="007E5E21" w:rsidP="00260DB0">
      <w:r>
        <w:separator/>
      </w:r>
    </w:p>
  </w:endnote>
  <w:endnote w:type="continuationSeparator" w:id="0">
    <w:p w14:paraId="44A9A3D8" w14:textId="77777777" w:rsidR="007E5E21" w:rsidRDefault="007E5E21" w:rsidP="0026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76D8A" w14:textId="77777777" w:rsidR="00260DB0" w:rsidRDefault="00260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74BE8" w14:textId="77777777" w:rsidR="00260DB0" w:rsidRDefault="00260D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5650A" w14:textId="77777777" w:rsidR="00260DB0" w:rsidRDefault="00260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7C6C7" w14:textId="77777777" w:rsidR="007E5E21" w:rsidRDefault="007E5E21" w:rsidP="00260DB0">
      <w:r>
        <w:separator/>
      </w:r>
    </w:p>
  </w:footnote>
  <w:footnote w:type="continuationSeparator" w:id="0">
    <w:p w14:paraId="36446C1E" w14:textId="77777777" w:rsidR="007E5E21" w:rsidRDefault="007E5E21" w:rsidP="00260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62766" w14:textId="75AB623F" w:rsidR="00260DB0" w:rsidRDefault="007E5E21">
    <w:pPr>
      <w:pStyle w:val="Header"/>
    </w:pPr>
    <w:r>
      <w:rPr>
        <w:noProof/>
      </w:rPr>
      <w:pict w14:anchorId="226AC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1078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812C2" w14:textId="11476799" w:rsidR="00260DB0" w:rsidRDefault="007E5E21">
    <w:pPr>
      <w:pStyle w:val="Header"/>
    </w:pPr>
    <w:r>
      <w:rPr>
        <w:noProof/>
      </w:rPr>
      <w:pict w14:anchorId="7C097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1078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C36F8" w14:textId="6393156A" w:rsidR="00260DB0" w:rsidRDefault="007E5E21">
    <w:pPr>
      <w:pStyle w:val="Header"/>
    </w:pPr>
    <w:r>
      <w:rPr>
        <w:noProof/>
      </w:rPr>
      <w:pict w14:anchorId="2D1A4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1078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E2F73"/>
    <w:multiLevelType w:val="multilevel"/>
    <w:tmpl w:val="66509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AE25244"/>
    <w:multiLevelType w:val="hybridMultilevel"/>
    <w:tmpl w:val="74CACB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1054953"/>
    <w:multiLevelType w:val="hybridMultilevel"/>
    <w:tmpl w:val="B68A58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28B3633"/>
    <w:multiLevelType w:val="multilevel"/>
    <w:tmpl w:val="E9AE4B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A35230E"/>
    <w:multiLevelType w:val="hybridMultilevel"/>
    <w:tmpl w:val="1540A2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15971"/>
    <w:rsid w:val="000709E2"/>
    <w:rsid w:val="000717E5"/>
    <w:rsid w:val="000A13D4"/>
    <w:rsid w:val="000F756D"/>
    <w:rsid w:val="001322AF"/>
    <w:rsid w:val="0015093A"/>
    <w:rsid w:val="0019327E"/>
    <w:rsid w:val="001968A3"/>
    <w:rsid w:val="001C2B13"/>
    <w:rsid w:val="00260DB0"/>
    <w:rsid w:val="002D1A09"/>
    <w:rsid w:val="002D2835"/>
    <w:rsid w:val="00360B09"/>
    <w:rsid w:val="00367E40"/>
    <w:rsid w:val="00372279"/>
    <w:rsid w:val="003D297A"/>
    <w:rsid w:val="00442533"/>
    <w:rsid w:val="00503505"/>
    <w:rsid w:val="00510473"/>
    <w:rsid w:val="00513BEC"/>
    <w:rsid w:val="005348BD"/>
    <w:rsid w:val="00605207"/>
    <w:rsid w:val="00622CD7"/>
    <w:rsid w:val="00626C86"/>
    <w:rsid w:val="0063326D"/>
    <w:rsid w:val="00650C08"/>
    <w:rsid w:val="00657C72"/>
    <w:rsid w:val="00693A98"/>
    <w:rsid w:val="006961C9"/>
    <w:rsid w:val="006B3024"/>
    <w:rsid w:val="00702C28"/>
    <w:rsid w:val="00704A7D"/>
    <w:rsid w:val="00713A43"/>
    <w:rsid w:val="007A4262"/>
    <w:rsid w:val="007B41D7"/>
    <w:rsid w:val="007E5E21"/>
    <w:rsid w:val="00841925"/>
    <w:rsid w:val="00882D4E"/>
    <w:rsid w:val="008C2069"/>
    <w:rsid w:val="008D0919"/>
    <w:rsid w:val="008D5A97"/>
    <w:rsid w:val="009166DF"/>
    <w:rsid w:val="00992363"/>
    <w:rsid w:val="009B44C3"/>
    <w:rsid w:val="009B7B52"/>
    <w:rsid w:val="00A062A5"/>
    <w:rsid w:val="00A77B3E"/>
    <w:rsid w:val="00A86D86"/>
    <w:rsid w:val="00AC3924"/>
    <w:rsid w:val="00B564F5"/>
    <w:rsid w:val="00B90062"/>
    <w:rsid w:val="00B9013D"/>
    <w:rsid w:val="00B9715E"/>
    <w:rsid w:val="00BA05E1"/>
    <w:rsid w:val="00BE1B71"/>
    <w:rsid w:val="00C16623"/>
    <w:rsid w:val="00C3335A"/>
    <w:rsid w:val="00C4320D"/>
    <w:rsid w:val="00C46E37"/>
    <w:rsid w:val="00C540DC"/>
    <w:rsid w:val="00C8147C"/>
    <w:rsid w:val="00CA2A55"/>
    <w:rsid w:val="00CE5206"/>
    <w:rsid w:val="00D01F31"/>
    <w:rsid w:val="00D1329A"/>
    <w:rsid w:val="00D27549"/>
    <w:rsid w:val="00D32E5C"/>
    <w:rsid w:val="00D80969"/>
    <w:rsid w:val="00E437BD"/>
    <w:rsid w:val="00E43CEC"/>
    <w:rsid w:val="00F0399A"/>
    <w:rsid w:val="00F6252E"/>
    <w:rsid w:val="00FA32C0"/>
    <w:rsid w:val="00FD7E3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7C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540DC"/>
    <w:rPr>
      <w:color w:val="0000FF" w:themeColor="hyperlink"/>
      <w:u w:val="single"/>
    </w:rPr>
  </w:style>
  <w:style w:type="paragraph" w:styleId="NormalWeb">
    <w:name w:val="Normal (Web)"/>
    <w:basedOn w:val="Normal"/>
    <w:uiPriority w:val="99"/>
    <w:unhideWhenUsed/>
    <w:rsid w:val="00702C28"/>
    <w:pPr>
      <w:spacing w:before="100" w:beforeAutospacing="1" w:after="100" w:afterAutospacing="1"/>
    </w:pPr>
    <w:rPr>
      <w:lang w:val="en-IN" w:eastAsia="en-IN" w:bidi="mr-IN"/>
    </w:rPr>
  </w:style>
  <w:style w:type="paragraph" w:styleId="BalloonText">
    <w:name w:val="Balloon Text"/>
    <w:basedOn w:val="Normal"/>
    <w:link w:val="BalloonTextChar"/>
    <w:rsid w:val="00C4320D"/>
    <w:rPr>
      <w:rFonts w:ascii="Tahoma" w:hAnsi="Tahoma" w:cs="Tahoma"/>
      <w:sz w:val="16"/>
      <w:szCs w:val="16"/>
    </w:rPr>
  </w:style>
  <w:style w:type="character" w:customStyle="1" w:styleId="BalloonTextChar">
    <w:name w:val="Balloon Text Char"/>
    <w:basedOn w:val="DefaultParagraphFont"/>
    <w:link w:val="BalloonText"/>
    <w:rsid w:val="00C4320D"/>
    <w:rPr>
      <w:rFonts w:ascii="Tahoma" w:hAnsi="Tahoma" w:cs="Tahoma"/>
      <w:sz w:val="16"/>
      <w:szCs w:val="16"/>
    </w:rPr>
  </w:style>
  <w:style w:type="table" w:styleId="TableGrid">
    <w:name w:val="Table Grid"/>
    <w:basedOn w:val="TableNormal"/>
    <w:uiPriority w:val="59"/>
    <w:rsid w:val="006961C9"/>
    <w:rPr>
      <w:rFonts w:asciiTheme="minorHAnsi" w:eastAsiaTheme="minorHAnsi" w:hAnsiTheme="minorHAnsi" w:cstheme="minorBidi"/>
      <w:sz w:val="22"/>
      <w:lang w:val="en-IN"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61C9"/>
    <w:pPr>
      <w:spacing w:after="200" w:line="276" w:lineRule="auto"/>
      <w:ind w:left="720"/>
      <w:contextualSpacing/>
    </w:pPr>
    <w:rPr>
      <w:rFonts w:asciiTheme="minorHAnsi" w:eastAsiaTheme="minorHAnsi" w:hAnsiTheme="minorHAnsi" w:cstheme="minorBidi"/>
      <w:sz w:val="22"/>
      <w:szCs w:val="20"/>
      <w:lang w:val="en-IN" w:bidi="mr-IN"/>
    </w:rPr>
  </w:style>
  <w:style w:type="table" w:styleId="TableClassic1">
    <w:name w:val="Table Classic 1"/>
    <w:basedOn w:val="TableNormal"/>
    <w:rsid w:val="006961C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0F756D"/>
    <w:pPr>
      <w:autoSpaceDE w:val="0"/>
      <w:autoSpaceDN w:val="0"/>
      <w:adjustRightInd w:val="0"/>
    </w:pPr>
    <w:rPr>
      <w:rFonts w:ascii="Book Antiqua" w:eastAsiaTheme="minorEastAsia" w:hAnsi="Book Antiqua" w:cs="Book Antiqua"/>
      <w:color w:val="000000"/>
      <w:sz w:val="24"/>
      <w:szCs w:val="24"/>
      <w:lang w:val="en-IN" w:eastAsia="en-IN" w:bidi="mr-IN"/>
    </w:rPr>
  </w:style>
  <w:style w:type="paragraph" w:styleId="Header">
    <w:name w:val="header"/>
    <w:basedOn w:val="Normal"/>
    <w:link w:val="HeaderChar"/>
    <w:rsid w:val="00260DB0"/>
    <w:pPr>
      <w:tabs>
        <w:tab w:val="center" w:pos="4680"/>
        <w:tab w:val="right" w:pos="9360"/>
      </w:tabs>
    </w:pPr>
  </w:style>
  <w:style w:type="character" w:customStyle="1" w:styleId="HeaderChar">
    <w:name w:val="Header Char"/>
    <w:basedOn w:val="DefaultParagraphFont"/>
    <w:link w:val="Header"/>
    <w:rsid w:val="00260DB0"/>
    <w:rPr>
      <w:sz w:val="24"/>
      <w:szCs w:val="24"/>
    </w:rPr>
  </w:style>
  <w:style w:type="paragraph" w:styleId="Footer">
    <w:name w:val="footer"/>
    <w:basedOn w:val="Normal"/>
    <w:link w:val="FooterChar"/>
    <w:rsid w:val="00260DB0"/>
    <w:pPr>
      <w:tabs>
        <w:tab w:val="center" w:pos="4680"/>
        <w:tab w:val="right" w:pos="9360"/>
      </w:tabs>
    </w:pPr>
  </w:style>
  <w:style w:type="character" w:customStyle="1" w:styleId="FooterChar">
    <w:name w:val="Footer Char"/>
    <w:basedOn w:val="DefaultParagraphFont"/>
    <w:link w:val="Footer"/>
    <w:rsid w:val="00260D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98588">
      <w:bodyDiv w:val="1"/>
      <w:marLeft w:val="0"/>
      <w:marRight w:val="0"/>
      <w:marTop w:val="0"/>
      <w:marBottom w:val="0"/>
      <w:divBdr>
        <w:top w:val="none" w:sz="0" w:space="0" w:color="auto"/>
        <w:left w:val="none" w:sz="0" w:space="0" w:color="auto"/>
        <w:bottom w:val="none" w:sz="0" w:space="0" w:color="auto"/>
        <w:right w:val="none" w:sz="0" w:space="0" w:color="auto"/>
      </w:divBdr>
    </w:div>
    <w:div w:id="750859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bf02018446" TargetMode="External"/><Relationship Id="rId18" Type="http://schemas.openxmlformats.org/officeDocument/2006/relationships/hyperlink" Target="https://doi.org/10.12691/wjoc-5-1-3" TargetMode="External"/><Relationship Id="rId26" Type="http://schemas.openxmlformats.org/officeDocument/2006/relationships/hyperlink" Target="https://doi.org/10.1021/ja02012a002" TargetMode="External"/><Relationship Id="rId3" Type="http://schemas.openxmlformats.org/officeDocument/2006/relationships/styles" Target="styles.xml"/><Relationship Id="rId21" Type="http://schemas.openxmlformats.org/officeDocument/2006/relationships/hyperlink" Target="https://doi.org/10.1111/1541-4337.12591"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i.org/10.1016/0031-9384(92)90429-6" TargetMode="External"/><Relationship Id="rId17" Type="http://schemas.openxmlformats.org/officeDocument/2006/relationships/hyperlink" Target="https://doi.org/10.31989/ffhd.v12i11.997" TargetMode="External"/><Relationship Id="rId25" Type="http://schemas.openxmlformats.org/officeDocument/2006/relationships/hyperlink" Target="https://doi.org/10.1021/i560108a025"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39/9781849734929-00101" TargetMode="External"/><Relationship Id="rId20" Type="http://schemas.openxmlformats.org/officeDocument/2006/relationships/hyperlink" Target="https://doi.org/10.1016/0008-6215(93)84205-k" TargetMode="External"/><Relationship Id="rId29" Type="http://schemas.openxmlformats.org/officeDocument/2006/relationships/hyperlink" Target="https://doi.org/10.5344/ajev.1986.37.4.28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39/9781849734929-00405" TargetMode="External"/><Relationship Id="rId24" Type="http://schemas.openxmlformats.org/officeDocument/2006/relationships/hyperlink" Target="https://doi.org/10.1093/jaoacint/qsac11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07/bf02022005" TargetMode="External"/><Relationship Id="rId23" Type="http://schemas.openxmlformats.org/officeDocument/2006/relationships/hyperlink" Target="https://doi.org/10.1093/jaoac/62.1.176" TargetMode="External"/><Relationship Id="rId28" Type="http://schemas.openxmlformats.org/officeDocument/2006/relationships/hyperlink" Target="https://doi.org/10.1039/JR9370001320" TargetMode="External"/><Relationship Id="rId36"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doi.org/10.1007/bf02152304"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111/j.1651-2227.1974.tb16992.x" TargetMode="External"/><Relationship Id="rId22" Type="http://schemas.openxmlformats.org/officeDocument/2006/relationships/hyperlink" Target="https://doi.org/10.1016/j.lwt.2020.109154" TargetMode="External"/><Relationship Id="rId27" Type="http://schemas.openxmlformats.org/officeDocument/2006/relationships/hyperlink" Target="https://doi.org/10.1039/AN9053000079"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EA1A7-B0B8-478F-A124-CC863827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12</Pages>
  <Words>3203</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MEGHRAJ</cp:lastModifiedBy>
  <cp:revision>93</cp:revision>
  <dcterms:created xsi:type="dcterms:W3CDTF">2024-11-25T03:59:00Z</dcterms:created>
  <dcterms:modified xsi:type="dcterms:W3CDTF">2025-02-20T03:26:00Z</dcterms:modified>
</cp:coreProperties>
</file>