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AAF" w:rsidRDefault="00687AAF" w:rsidP="00687AAF">
      <w:pPr>
        <w:pStyle w:val="Title"/>
        <w:spacing w:after="0"/>
        <w:jc w:val="both"/>
        <w:rPr>
          <w:rFonts w:ascii="Arial" w:hAnsi="Arial" w:cs="Arial"/>
        </w:rPr>
      </w:pPr>
    </w:p>
    <w:p w:rsidR="00687AAF" w:rsidRPr="00FB3A86" w:rsidRDefault="00087D14" w:rsidP="00687AAF">
      <w:pPr>
        <w:pStyle w:val="Copyright"/>
        <w:spacing w:after="0" w:line="240" w:lineRule="auto"/>
        <w:jc w:val="both"/>
        <w:rPr>
          <w:rFonts w:ascii="Arial" w:hAnsi="Arial" w:cs="Arial"/>
        </w:rPr>
        <w:sectPr w:rsidR="00687AAF" w:rsidRPr="00FB3A86" w:rsidSect="00275BBC">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087D14">
        <w:rPr>
          <w:rFonts w:ascii="Arial" w:hAnsi="Arial" w:cs="Arial"/>
          <w:b/>
          <w:bCs/>
          <w:iCs/>
          <w:kern w:val="28"/>
          <w:sz w:val="36"/>
          <w:highlight w:val="yellow"/>
          <w:lang w:val="en-GB"/>
        </w:rPr>
        <w:t>Influence Of Limnological Factors On Macrophytic Diversity And Distribution In The Humic Freshwater Ecosystem Of Eniong River, It</w:t>
      </w:r>
      <w:r>
        <w:rPr>
          <w:rFonts w:ascii="Arial" w:hAnsi="Arial" w:cs="Arial"/>
          <w:b/>
          <w:bCs/>
          <w:iCs/>
          <w:kern w:val="28"/>
          <w:sz w:val="36"/>
          <w:highlight w:val="yellow"/>
          <w:lang w:val="en-GB"/>
        </w:rPr>
        <w:t xml:space="preserve">u, </w:t>
      </w:r>
      <w:r w:rsidRPr="00087D14">
        <w:rPr>
          <w:rFonts w:ascii="Arial" w:hAnsi="Arial" w:cs="Arial"/>
          <w:b/>
          <w:bCs/>
          <w:iCs/>
          <w:kern w:val="28"/>
          <w:sz w:val="36"/>
          <w:highlight w:val="yellow"/>
          <w:lang w:val="en-GB"/>
        </w:rPr>
        <w:t>Nigeria.</w:t>
      </w:r>
      <w:r w:rsidR="00B4228F" w:rsidRPr="00B4228F">
        <w:rPr>
          <w:rFonts w:ascii="Arial" w:hAnsi="Arial" w:cs="Arial"/>
        </w:rPr>
      </w:r>
      <w:r w:rsidR="00B4228F">
        <w:rPr>
          <w:rFonts w:ascii="Arial" w:hAnsi="Arial" w:cs="Arial"/>
        </w:rPr>
        <w:pict>
          <v:shapetype id="_x0000_t32" coordsize="21600,21600" o:spt="32" o:oned="t" path="m,l21600,21600e" filled="f">
            <v:path arrowok="t" fillok="f" o:connecttype="none"/>
            <o:lock v:ext="edit" shapetype="t"/>
          </v:shapetype>
          <v:shape id="_x0000_s2050" type="#_x0000_t32" style="width:417.6pt;height:0;mso-position-horizontal-relative:char;mso-position-vertical-relative:line" o:connectortype="straight" strokeweight="1.5pt">
            <w10:wrap type="none"/>
            <w10:anchorlock/>
          </v:shape>
        </w:pict>
      </w:r>
      <w:r w:rsidR="00687AAF">
        <w:rPr>
          <w:rFonts w:ascii="Arial" w:hAnsi="Arial" w:cs="Arial"/>
        </w:rPr>
        <w:t>.</w:t>
      </w:r>
    </w:p>
    <w:p w:rsidR="00687AAF" w:rsidRDefault="00687AAF" w:rsidP="00687AAF">
      <w:pPr>
        <w:pStyle w:val="AbstHead"/>
        <w:spacing w:after="0"/>
        <w:jc w:val="both"/>
        <w:rPr>
          <w:rFonts w:ascii="Arial" w:hAnsi="Arial" w:cs="Arial"/>
        </w:rPr>
      </w:pPr>
      <w:r w:rsidRPr="00FB3A86">
        <w:rPr>
          <w:rFonts w:ascii="Arial" w:hAnsi="Arial" w:cs="Arial"/>
        </w:rPr>
        <w:lastRenderedPageBreak/>
        <w:t>ABSTRACT</w:t>
      </w:r>
    </w:p>
    <w:p w:rsidR="00687AAF" w:rsidRPr="00FB3A86" w:rsidRDefault="00687AAF" w:rsidP="00687AA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687AAF" w:rsidRPr="001E44FE" w:rsidTr="00A72992">
        <w:tc>
          <w:tcPr>
            <w:tcW w:w="9576" w:type="dxa"/>
            <w:shd w:val="clear" w:color="auto" w:fill="F2F2F2"/>
          </w:tcPr>
          <w:p w:rsidR="00687AAF" w:rsidRDefault="00687AAF" w:rsidP="00A72992">
            <w:pPr>
              <w:pStyle w:val="Body"/>
              <w:spacing w:after="0"/>
              <w:rPr>
                <w:rFonts w:ascii="Arial" w:eastAsia="Calibri" w:hAnsi="Arial" w:cs="Arial"/>
                <w:szCs w:val="22"/>
              </w:rPr>
            </w:pPr>
          </w:p>
          <w:p w:rsidR="00687AAF" w:rsidRPr="00BA1B01" w:rsidRDefault="00687AAF" w:rsidP="00A72992">
            <w:pPr>
              <w:pStyle w:val="Body"/>
              <w:spacing w:after="0"/>
              <w:rPr>
                <w:rFonts w:ascii="Arial" w:eastAsia="Calibri" w:hAnsi="Arial" w:cs="Arial"/>
                <w:szCs w:val="22"/>
              </w:rPr>
            </w:pPr>
            <w:r w:rsidRPr="00BA1B01">
              <w:rPr>
                <w:rFonts w:ascii="Arial" w:eastAsia="Calibri" w:hAnsi="Arial" w:cs="Arial"/>
                <w:b/>
                <w:szCs w:val="22"/>
              </w:rPr>
              <w:t xml:space="preserve">Aims: </w:t>
            </w:r>
            <w:r w:rsidRPr="00C366B2">
              <w:rPr>
                <w:rFonts w:ascii="Arial" w:eastAsia="Calibri" w:hAnsi="Arial" w:cs="Arial"/>
                <w:szCs w:val="22"/>
                <w:highlight w:val="yellow"/>
              </w:rPr>
              <w:t xml:space="preserve">This research explores the relationships between key limnological variables and </w:t>
            </w:r>
            <w:r w:rsidR="00A90485" w:rsidRPr="00C366B2">
              <w:rPr>
                <w:rFonts w:ascii="Arial" w:eastAsia="Calibri" w:hAnsi="Arial" w:cs="Arial"/>
                <w:szCs w:val="22"/>
                <w:highlight w:val="yellow"/>
              </w:rPr>
              <w:t>macrophyte</w:t>
            </w:r>
            <w:r w:rsidRPr="00C366B2">
              <w:rPr>
                <w:rFonts w:ascii="Arial" w:eastAsia="Calibri" w:hAnsi="Arial" w:cs="Arial"/>
                <w:szCs w:val="22"/>
                <w:highlight w:val="yellow"/>
              </w:rPr>
              <w:t xml:space="preserve"> structure, examining how changes in water quality parameters impact the composition</w:t>
            </w:r>
            <w:r w:rsidR="00AE2082" w:rsidRPr="00C366B2">
              <w:rPr>
                <w:rFonts w:ascii="Arial" w:eastAsia="Calibri" w:hAnsi="Arial" w:cs="Arial"/>
                <w:szCs w:val="22"/>
                <w:highlight w:val="yellow"/>
              </w:rPr>
              <w:t xml:space="preserve"> and density </w:t>
            </w:r>
            <w:r w:rsidRPr="00C366B2">
              <w:rPr>
                <w:rFonts w:ascii="Arial" w:eastAsia="Calibri" w:hAnsi="Arial" w:cs="Arial"/>
                <w:szCs w:val="22"/>
                <w:highlight w:val="yellow"/>
              </w:rPr>
              <w:t>of aquatic plant communities.</w:t>
            </w:r>
          </w:p>
          <w:p w:rsidR="00687AAF" w:rsidRPr="00BA1B01" w:rsidRDefault="00687AAF" w:rsidP="00A72992">
            <w:pPr>
              <w:pStyle w:val="Body"/>
              <w:spacing w:after="0"/>
              <w:rPr>
                <w:rFonts w:ascii="Arial" w:eastAsia="Calibri" w:hAnsi="Arial" w:cs="Arial"/>
                <w:szCs w:val="22"/>
              </w:rPr>
            </w:pPr>
            <w:r w:rsidRPr="00BA1B01">
              <w:rPr>
                <w:rFonts w:ascii="Arial" w:eastAsia="Calibri" w:hAnsi="Arial" w:cs="Arial"/>
                <w:b/>
                <w:szCs w:val="22"/>
              </w:rPr>
              <w:t>Study design:</w:t>
            </w:r>
            <w:r w:rsidRPr="003353C9">
              <w:rPr>
                <w:rFonts w:ascii="Arial" w:eastAsia="Calibri" w:hAnsi="Arial" w:cs="Arial"/>
                <w:szCs w:val="22"/>
              </w:rPr>
              <w:t xml:space="preserve">A stratified random sampling design was employed to ensure comprehensive coverage of the river ecosystem. </w:t>
            </w:r>
          </w:p>
          <w:p w:rsidR="00687AAF" w:rsidRPr="00BA1B01" w:rsidRDefault="00687AAF" w:rsidP="00A72992">
            <w:pPr>
              <w:pStyle w:val="Body"/>
              <w:spacing w:after="0"/>
              <w:rPr>
                <w:rFonts w:ascii="Arial" w:eastAsia="Calibri" w:hAnsi="Arial" w:cs="Arial"/>
                <w:szCs w:val="22"/>
              </w:rPr>
            </w:pPr>
            <w:r w:rsidRPr="00BA1B01">
              <w:rPr>
                <w:rFonts w:ascii="Arial" w:eastAsia="Calibri" w:hAnsi="Arial" w:cs="Arial"/>
                <w:b/>
                <w:szCs w:val="22"/>
              </w:rPr>
              <w:t>Place and Duration of Study:</w:t>
            </w:r>
            <w:r w:rsidRPr="003353C9">
              <w:rPr>
                <w:rFonts w:ascii="Arial" w:eastAsia="Calibri" w:hAnsi="Arial" w:cs="Arial"/>
                <w:szCs w:val="22"/>
              </w:rPr>
              <w:t>The study was conducted on the Eniong River, a tributary of the Cross River, located in Itu Local Government Are</w:t>
            </w:r>
            <w:r>
              <w:rPr>
                <w:rFonts w:ascii="Arial" w:eastAsia="Calibri" w:hAnsi="Arial" w:cs="Arial"/>
                <w:szCs w:val="22"/>
              </w:rPr>
              <w:t>a of Akwa Ibom State, Nigeria.</w:t>
            </w:r>
            <w:r w:rsidRPr="003353C9">
              <w:rPr>
                <w:rFonts w:ascii="Arial" w:eastAsia="Calibri" w:hAnsi="Arial" w:cs="Arial"/>
                <w:szCs w:val="22"/>
              </w:rPr>
              <w:t xml:space="preserve"> Sampling was conducted over a period of one year to capture seasonal variations.</w:t>
            </w:r>
          </w:p>
          <w:p w:rsidR="00687AAF" w:rsidRPr="00BA1B01" w:rsidRDefault="00687AAF" w:rsidP="00A72992">
            <w:pPr>
              <w:pStyle w:val="Body"/>
              <w:rPr>
                <w:rFonts w:ascii="Arial" w:eastAsia="Calibri" w:hAnsi="Arial" w:cs="Arial"/>
                <w:szCs w:val="22"/>
              </w:rPr>
            </w:pPr>
            <w:r w:rsidRPr="00BA1B01">
              <w:rPr>
                <w:rFonts w:ascii="Arial" w:eastAsia="Calibri" w:hAnsi="Arial" w:cs="Arial"/>
                <w:b/>
                <w:bCs/>
                <w:szCs w:val="22"/>
              </w:rPr>
              <w:t>Methodology:</w:t>
            </w:r>
            <w:r w:rsidRPr="0046205A">
              <w:rPr>
                <w:rFonts w:ascii="Arial" w:eastAsia="Calibri" w:hAnsi="Arial" w:cs="Arial"/>
                <w:szCs w:val="22"/>
              </w:rPr>
              <w:t>A stratified random sampling design was employed to ensure comprehensive coverage of the river ecosystem. The river was divided into four zones based on geomor</w:t>
            </w:r>
            <w:r w:rsidR="007A1229">
              <w:rPr>
                <w:rFonts w:ascii="Arial" w:eastAsia="Calibri" w:hAnsi="Arial" w:cs="Arial"/>
                <w:szCs w:val="22"/>
              </w:rPr>
              <w:t>ph</w:t>
            </w:r>
            <w:r w:rsidRPr="0046205A">
              <w:rPr>
                <w:rFonts w:ascii="Arial" w:eastAsia="Calibri" w:hAnsi="Arial" w:cs="Arial"/>
                <w:szCs w:val="22"/>
              </w:rPr>
              <w:t xml:space="preserve">ological characteristics and land use patterns for collection of </w:t>
            </w:r>
            <w:r w:rsidR="00A90485">
              <w:rPr>
                <w:rFonts w:ascii="Arial" w:eastAsia="Calibri" w:hAnsi="Arial" w:cs="Arial"/>
                <w:szCs w:val="22"/>
              </w:rPr>
              <w:t>macrophyte</w:t>
            </w:r>
            <w:r w:rsidRPr="0046205A">
              <w:rPr>
                <w:rFonts w:ascii="Arial" w:eastAsia="Calibri" w:hAnsi="Arial" w:cs="Arial"/>
                <w:szCs w:val="22"/>
              </w:rPr>
              <w:t xml:space="preserve"> and limnological data. Along each transect, five 1</w:t>
            </w:r>
            <w:r>
              <w:rPr>
                <w:rFonts w:ascii="Arial" w:eastAsia="Calibri" w:hAnsi="Arial" w:cs="Arial"/>
                <w:szCs w:val="22"/>
              </w:rPr>
              <w:t>m</w:t>
            </w:r>
            <w:r>
              <w:rPr>
                <w:rFonts w:ascii="Arial" w:eastAsia="Calibri" w:hAnsi="Arial" w:cs="Arial"/>
                <w:szCs w:val="22"/>
                <w:vertAlign w:val="superscript"/>
              </w:rPr>
              <w:t>2</w:t>
            </w:r>
            <w:r w:rsidRPr="0046205A">
              <w:rPr>
                <w:rFonts w:ascii="Arial" w:eastAsia="Calibri" w:hAnsi="Arial" w:cs="Arial"/>
                <w:szCs w:val="22"/>
              </w:rPr>
              <w:t xml:space="preserve"> quadrats were randomly placed for detailed </w:t>
            </w:r>
            <w:r w:rsidR="00A90485">
              <w:rPr>
                <w:rFonts w:ascii="Arial" w:eastAsia="Calibri" w:hAnsi="Arial" w:cs="Arial"/>
                <w:szCs w:val="22"/>
              </w:rPr>
              <w:t>macrophyte</w:t>
            </w:r>
            <w:r w:rsidRPr="0046205A">
              <w:rPr>
                <w:rFonts w:ascii="Arial" w:eastAsia="Calibri" w:hAnsi="Arial" w:cs="Arial"/>
                <w:szCs w:val="22"/>
              </w:rPr>
              <w:t xml:space="preserve"> assessment. Limnological variables were conducted based on standard methods as described in A</w:t>
            </w:r>
            <w:r w:rsidR="00AE2082">
              <w:rPr>
                <w:rFonts w:ascii="Arial" w:eastAsia="Calibri" w:hAnsi="Arial" w:cs="Arial"/>
                <w:szCs w:val="22"/>
              </w:rPr>
              <w:t>PH</w:t>
            </w:r>
            <w:r w:rsidRPr="0046205A">
              <w:rPr>
                <w:rFonts w:ascii="Arial" w:eastAsia="Calibri" w:hAnsi="Arial" w:cs="Arial"/>
                <w:szCs w:val="22"/>
              </w:rPr>
              <w:t>A</w:t>
            </w:r>
            <w:r w:rsidRPr="00BA1B01">
              <w:rPr>
                <w:rFonts w:ascii="Arial" w:eastAsia="Calibri" w:hAnsi="Arial" w:cs="Arial"/>
                <w:szCs w:val="22"/>
              </w:rPr>
              <w:t>.</w:t>
            </w:r>
          </w:p>
          <w:p w:rsidR="004E29DE" w:rsidRPr="00F15580" w:rsidRDefault="00687AAF" w:rsidP="00F15580">
            <w:pPr>
              <w:pStyle w:val="Body"/>
            </w:pPr>
            <w:r w:rsidRPr="00BA1B01">
              <w:rPr>
                <w:rFonts w:ascii="Arial" w:eastAsia="Calibri" w:hAnsi="Arial" w:cs="Arial"/>
                <w:b/>
                <w:bCs/>
                <w:szCs w:val="22"/>
              </w:rPr>
              <w:t>Results</w:t>
            </w:r>
            <w:r w:rsidR="004E29DE">
              <w:rPr>
                <w:rFonts w:ascii="Arial" w:eastAsia="Calibri" w:hAnsi="Arial" w:cs="Arial"/>
                <w:b/>
                <w:bCs/>
                <w:szCs w:val="22"/>
              </w:rPr>
              <w:t>:</w:t>
            </w:r>
            <w:r w:rsidR="00F15580">
              <w:t xml:space="preserve">The </w:t>
            </w:r>
            <w:r w:rsidR="00AE2082">
              <w:t>pH</w:t>
            </w:r>
            <w:r w:rsidR="00F15580">
              <w:t xml:space="preserve"> values across the stations ranged from 6.15 to 6.71, indicating slightly acidic conditions in the humic waters of the eniong river. Nitrate levels ranged from 81.42 mg/L to 104.89 mg/L, significantly exceeding the WHO and NESREA limits of ≤10 mg/L while</w:t>
            </w:r>
            <w:r w:rsidR="004E29DE" w:rsidRPr="004E29DE">
              <w:rPr>
                <w:rFonts w:ascii="Arial" w:eastAsia="Calibri" w:hAnsi="Arial" w:cs="Arial"/>
                <w:bCs/>
                <w:szCs w:val="22"/>
              </w:rPr>
              <w:t>Shannon-Wiener values decrease from Station 1 (1.458) to Station 4 (0.5449), consistent with declining taxa richne</w:t>
            </w:r>
            <w:r w:rsidR="004E29DE">
              <w:rPr>
                <w:rFonts w:ascii="Arial" w:eastAsia="Calibri" w:hAnsi="Arial" w:cs="Arial"/>
                <w:bCs/>
                <w:szCs w:val="22"/>
              </w:rPr>
              <w:t xml:space="preserve">ss and evenness.  </w:t>
            </w:r>
            <w:r w:rsidR="004E29DE" w:rsidRPr="004E29DE">
              <w:rPr>
                <w:rFonts w:ascii="Arial" w:eastAsia="Calibri" w:hAnsi="Arial" w:cs="Arial"/>
                <w:bCs/>
                <w:szCs w:val="22"/>
              </w:rPr>
              <w:t>Simpson’s diversity decreases from Station 1 (0.7463) to Station 4 (0.2567), reflecting reduce</w:t>
            </w:r>
            <w:r w:rsidR="004E29DE">
              <w:rPr>
                <w:rFonts w:ascii="Arial" w:eastAsia="Calibri" w:hAnsi="Arial" w:cs="Arial"/>
                <w:bCs/>
                <w:szCs w:val="22"/>
              </w:rPr>
              <w:t xml:space="preserve">d species diversity downstream. </w:t>
            </w:r>
            <w:r w:rsidR="004E29DE" w:rsidRPr="004E29DE">
              <w:rPr>
                <w:rFonts w:ascii="Arial" w:eastAsia="Calibri" w:hAnsi="Arial" w:cs="Arial"/>
                <w:bCs/>
                <w:szCs w:val="22"/>
              </w:rPr>
              <w:t>Dominance increased from Station 1 (0.2537) to Station 4 (0.7433), indicating a shift towards communities dominated by fewer, more competitive species downstream</w:t>
            </w:r>
            <w:r w:rsidR="00F15580">
              <w:rPr>
                <w:rFonts w:ascii="Arial" w:eastAsia="Calibri" w:hAnsi="Arial" w:cs="Arial"/>
                <w:bCs/>
                <w:szCs w:val="22"/>
              </w:rPr>
              <w:t xml:space="preserve">. </w:t>
            </w:r>
            <w:r w:rsidR="00F15580" w:rsidRPr="00F15580">
              <w:rPr>
                <w:rFonts w:ascii="Arial" w:eastAsia="Calibri" w:hAnsi="Arial" w:cs="Arial"/>
                <w:bCs/>
                <w:szCs w:val="22"/>
              </w:rPr>
              <w:t xml:space="preserve">The CCA analysis for surface water showed that DO, </w:t>
            </w:r>
            <w:r w:rsidR="001000DD">
              <w:rPr>
                <w:rFonts w:ascii="Arial" w:eastAsia="Calibri" w:hAnsi="Arial" w:cs="Arial"/>
                <w:bCs/>
                <w:szCs w:val="22"/>
              </w:rPr>
              <w:t>phosphate</w:t>
            </w:r>
            <w:r w:rsidR="00F15580" w:rsidRPr="00F15580">
              <w:rPr>
                <w:rFonts w:ascii="Arial" w:eastAsia="Calibri" w:hAnsi="Arial" w:cs="Arial"/>
                <w:bCs/>
                <w:szCs w:val="22"/>
              </w:rPr>
              <w:t xml:space="preserve">, TSS, BOD were negatively associated with </w:t>
            </w:r>
            <w:r w:rsidR="00F15580" w:rsidRPr="00A90485">
              <w:rPr>
                <w:rFonts w:ascii="Arial" w:eastAsia="Calibri" w:hAnsi="Arial" w:cs="Arial"/>
                <w:bCs/>
                <w:i/>
                <w:szCs w:val="22"/>
              </w:rPr>
              <w:t>Pontederia crassipes</w:t>
            </w:r>
            <w:r w:rsidR="00F15580" w:rsidRPr="00F15580">
              <w:rPr>
                <w:rFonts w:ascii="Arial" w:eastAsia="Calibri" w:hAnsi="Arial" w:cs="Arial"/>
                <w:bCs/>
                <w:szCs w:val="22"/>
              </w:rPr>
              <w:t xml:space="preserve"> and</w:t>
            </w:r>
            <w:r w:rsidR="00F15580" w:rsidRPr="00A90485">
              <w:rPr>
                <w:rFonts w:ascii="Arial" w:eastAsia="Calibri" w:hAnsi="Arial" w:cs="Arial"/>
                <w:bCs/>
                <w:i/>
                <w:szCs w:val="22"/>
              </w:rPr>
              <w:t xml:space="preserve"> Ipomea aquatic</w:t>
            </w:r>
            <w:r w:rsidR="00A90485" w:rsidRPr="00A90485">
              <w:rPr>
                <w:rFonts w:ascii="Arial" w:eastAsia="Calibri" w:hAnsi="Arial" w:cs="Arial"/>
                <w:bCs/>
                <w:i/>
                <w:szCs w:val="22"/>
              </w:rPr>
              <w:t>a</w:t>
            </w:r>
            <w:r w:rsidR="009638B7" w:rsidRPr="00A90485">
              <w:rPr>
                <w:rFonts w:ascii="Arial" w:eastAsia="Calibri" w:hAnsi="Arial" w:cs="Arial"/>
                <w:bCs/>
                <w:i/>
                <w:szCs w:val="22"/>
              </w:rPr>
              <w:t>.</w:t>
            </w:r>
          </w:p>
          <w:p w:rsidR="00687AAF" w:rsidRPr="004E29DE" w:rsidRDefault="00687AAF" w:rsidP="004E29DE">
            <w:pPr>
              <w:pStyle w:val="Body"/>
              <w:rPr>
                <w:rFonts w:ascii="Arial" w:eastAsia="Calibri" w:hAnsi="Arial" w:cs="Arial"/>
                <w:bCs/>
                <w:szCs w:val="22"/>
              </w:rPr>
            </w:pPr>
            <w:r w:rsidRPr="00BA1B01">
              <w:rPr>
                <w:rFonts w:ascii="Arial" w:eastAsia="Calibri" w:hAnsi="Arial" w:cs="Arial"/>
                <w:b/>
                <w:bCs/>
                <w:szCs w:val="22"/>
              </w:rPr>
              <w:t>Conclusion</w:t>
            </w:r>
            <w:r w:rsidR="007A1229" w:rsidRPr="00BA1B01">
              <w:rPr>
                <w:rFonts w:ascii="Arial" w:eastAsia="Calibri" w:hAnsi="Arial" w:cs="Arial"/>
                <w:b/>
                <w:bCs/>
                <w:szCs w:val="22"/>
              </w:rPr>
              <w:t>:</w:t>
            </w:r>
            <w:r w:rsidR="007A1229" w:rsidRPr="00F15580">
              <w:rPr>
                <w:rFonts w:ascii="Arial" w:hAnsi="Arial" w:cs="Arial"/>
                <w:lang w:val="en-GB"/>
              </w:rPr>
              <w:t xml:space="preserve"> The</w:t>
            </w:r>
            <w:r w:rsidR="00F15580" w:rsidRPr="00F15580">
              <w:rPr>
                <w:rFonts w:ascii="Arial" w:hAnsi="Arial" w:cs="Arial"/>
                <w:lang w:val="en-GB"/>
              </w:rPr>
              <w:t xml:space="preserve"> correlation between deteriorating water quality, particularly heavy metal contamination, and reduced </w:t>
            </w:r>
            <w:r w:rsidR="00A90485">
              <w:rPr>
                <w:rFonts w:ascii="Arial" w:hAnsi="Arial" w:cs="Arial"/>
                <w:lang w:val="en-GB"/>
              </w:rPr>
              <w:t>macrophyte</w:t>
            </w:r>
            <w:r w:rsidR="00F15580" w:rsidRPr="00F15580">
              <w:rPr>
                <w:rFonts w:ascii="Arial" w:hAnsi="Arial" w:cs="Arial"/>
                <w:lang w:val="en-GB"/>
              </w:rPr>
              <w:t xml:space="preserve"> diversity underscores the need for better management strategies.</w:t>
            </w:r>
          </w:p>
          <w:p w:rsidR="00687AAF" w:rsidRPr="00BA1B01" w:rsidRDefault="00687AAF" w:rsidP="00A72992">
            <w:pPr>
              <w:pStyle w:val="Body"/>
              <w:spacing w:after="0"/>
              <w:rPr>
                <w:rFonts w:ascii="Arial" w:eastAsia="Calibri" w:hAnsi="Arial" w:cs="Arial"/>
                <w:szCs w:val="22"/>
              </w:rPr>
            </w:pPr>
          </w:p>
        </w:tc>
      </w:tr>
    </w:tbl>
    <w:p w:rsidR="00687AAF" w:rsidRDefault="00687AAF" w:rsidP="00687AAF">
      <w:pPr>
        <w:pStyle w:val="Body"/>
        <w:spacing w:after="0"/>
        <w:rPr>
          <w:rFonts w:ascii="Arial" w:hAnsi="Arial" w:cs="Arial"/>
          <w:i/>
        </w:rPr>
      </w:pPr>
    </w:p>
    <w:p w:rsidR="00687AAF" w:rsidRDefault="00687AAF" w:rsidP="00687AAF">
      <w:pPr>
        <w:pStyle w:val="Body"/>
        <w:spacing w:after="0"/>
        <w:rPr>
          <w:rFonts w:ascii="Arial" w:hAnsi="Arial" w:cs="Arial"/>
          <w:i/>
        </w:rPr>
      </w:pPr>
      <w:r>
        <w:rPr>
          <w:rFonts w:ascii="Arial" w:hAnsi="Arial" w:cs="Arial"/>
          <w:i/>
        </w:rPr>
        <w:t xml:space="preserve">Keywords: </w:t>
      </w:r>
      <w:r w:rsidRPr="004C79B4">
        <w:rPr>
          <w:rFonts w:ascii="Arial" w:hAnsi="Arial" w:cs="Arial"/>
          <w:i/>
        </w:rPr>
        <w:t xml:space="preserve">Limnology, </w:t>
      </w:r>
      <w:r w:rsidR="00A90485">
        <w:rPr>
          <w:rFonts w:ascii="Arial" w:hAnsi="Arial" w:cs="Arial"/>
          <w:i/>
        </w:rPr>
        <w:t>macrophyte</w:t>
      </w:r>
      <w:r w:rsidRPr="004C79B4">
        <w:rPr>
          <w:rFonts w:ascii="Arial" w:hAnsi="Arial" w:cs="Arial"/>
          <w:i/>
        </w:rPr>
        <w:t xml:space="preserve">,Freshwater ecosystem, Diversity </w:t>
      </w:r>
    </w:p>
    <w:p w:rsidR="00687AAF" w:rsidRDefault="00687AAF" w:rsidP="00687AAF">
      <w:pPr>
        <w:pStyle w:val="Body"/>
        <w:spacing w:after="0"/>
        <w:rPr>
          <w:rFonts w:ascii="Arial" w:hAnsi="Arial" w:cs="Arial"/>
          <w:i/>
        </w:rPr>
      </w:pPr>
    </w:p>
    <w:p w:rsidR="00687AAF" w:rsidRDefault="00687AAF" w:rsidP="00687AAF">
      <w:pPr>
        <w:pStyle w:val="Body"/>
        <w:spacing w:after="0"/>
        <w:rPr>
          <w:rFonts w:ascii="Arial" w:hAnsi="Arial" w:cs="Arial"/>
          <w:i/>
          <w:sz w:val="18"/>
        </w:rPr>
      </w:pPr>
    </w:p>
    <w:p w:rsidR="00687AAF" w:rsidRPr="00A24E7E" w:rsidRDefault="00687AAF" w:rsidP="00687AAF">
      <w:pPr>
        <w:pStyle w:val="Body"/>
        <w:spacing w:after="0"/>
        <w:rPr>
          <w:rFonts w:ascii="Arial" w:hAnsi="Arial" w:cs="Arial"/>
          <w:i/>
        </w:rPr>
      </w:pPr>
    </w:p>
    <w:p w:rsidR="00687AAF" w:rsidRDefault="00687AAF" w:rsidP="00687AAF">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p>
    <w:p w:rsidR="00687AAF" w:rsidRPr="00FB3A86" w:rsidRDefault="00687AAF" w:rsidP="00687AAF">
      <w:pPr>
        <w:pStyle w:val="AbstHead"/>
        <w:spacing w:after="0"/>
        <w:jc w:val="both"/>
        <w:rPr>
          <w:rFonts w:ascii="Arial" w:hAnsi="Arial" w:cs="Arial"/>
        </w:rPr>
      </w:pPr>
    </w:p>
    <w:p w:rsidR="00687AAF" w:rsidRPr="0012648E" w:rsidRDefault="00687AAF" w:rsidP="00687AAF">
      <w:pPr>
        <w:pStyle w:val="Body"/>
        <w:rPr>
          <w:rFonts w:ascii="Arial" w:hAnsi="Arial" w:cs="Arial"/>
        </w:rPr>
      </w:pPr>
      <w:r w:rsidRPr="0012648E">
        <w:rPr>
          <w:rFonts w:ascii="Arial" w:hAnsi="Arial" w:cs="Arial"/>
        </w:rPr>
        <w:t>Freshwater ecosystems are vital components of the global bios</w:t>
      </w:r>
      <w:r w:rsidR="00A90485">
        <w:rPr>
          <w:rFonts w:ascii="Arial" w:hAnsi="Arial" w:cs="Arial"/>
        </w:rPr>
        <w:t>ph</w:t>
      </w:r>
      <w:r w:rsidRPr="0012648E">
        <w:rPr>
          <w:rFonts w:ascii="Arial" w:hAnsi="Arial" w:cs="Arial"/>
        </w:rPr>
        <w:t>ere, playing crucial roles in biogeochemical cycles, biodiversity support, and human well-being</w:t>
      </w:r>
      <w:r w:rsidR="00C03D01">
        <w:rPr>
          <w:rFonts w:ascii="Arial" w:hAnsi="Arial" w:cs="Arial"/>
          <w:vertAlign w:val="superscript"/>
        </w:rPr>
        <w:t>31</w:t>
      </w:r>
      <w:r w:rsidRPr="0012648E">
        <w:rPr>
          <w:rFonts w:ascii="Arial" w:hAnsi="Arial" w:cs="Arial"/>
        </w:rPr>
        <w:t>. Among these, humic freshwater ecosystems represent a unique category characterized by high concentrations of dissolved organic matter, particularly humic substance</w:t>
      </w:r>
      <w:r w:rsidR="00C03D01">
        <w:rPr>
          <w:rFonts w:ascii="Arial" w:hAnsi="Arial" w:cs="Arial"/>
          <w:vertAlign w:val="superscript"/>
        </w:rPr>
        <w:t>44</w:t>
      </w:r>
      <w:r w:rsidRPr="0012648E">
        <w:rPr>
          <w:rFonts w:ascii="Arial" w:hAnsi="Arial" w:cs="Arial"/>
        </w:rPr>
        <w:t xml:space="preserve">. These substances impart a characteristic brown color to the water and significantly influence the ecosystem's </w:t>
      </w:r>
      <w:r w:rsidR="00A90485">
        <w:rPr>
          <w:rFonts w:ascii="Arial" w:hAnsi="Arial" w:cs="Arial"/>
        </w:rPr>
        <w:t>ph</w:t>
      </w:r>
      <w:r w:rsidRPr="0012648E">
        <w:rPr>
          <w:rFonts w:ascii="Arial" w:hAnsi="Arial" w:cs="Arial"/>
        </w:rPr>
        <w:t>ysical, chemical, and biological properties.</w:t>
      </w:r>
      <w:r w:rsidR="00A90485">
        <w:rPr>
          <w:rFonts w:ascii="Arial" w:hAnsi="Arial" w:cs="Arial"/>
        </w:rPr>
        <w:t xml:space="preserve"> </w:t>
      </w:r>
      <w:r w:rsidRPr="0012648E">
        <w:rPr>
          <w:rFonts w:ascii="Arial" w:hAnsi="Arial" w:cs="Arial"/>
        </w:rPr>
        <w:t>These ecosystems are increasingly recognized for their significance in carbon cycling and climate regulation</w:t>
      </w:r>
      <w:r w:rsidR="009638B7">
        <w:rPr>
          <w:rFonts w:ascii="Arial" w:hAnsi="Arial" w:cs="Arial"/>
          <w:vertAlign w:val="superscript"/>
        </w:rPr>
        <w:t>1</w:t>
      </w:r>
      <w:r w:rsidR="00C03D01">
        <w:rPr>
          <w:rFonts w:ascii="Arial" w:hAnsi="Arial" w:cs="Arial"/>
          <w:vertAlign w:val="superscript"/>
        </w:rPr>
        <w:t>0</w:t>
      </w:r>
      <w:r w:rsidRPr="0012648E">
        <w:rPr>
          <w:rFonts w:ascii="Arial" w:hAnsi="Arial" w:cs="Arial"/>
        </w:rPr>
        <w:t>.</w:t>
      </w:r>
    </w:p>
    <w:p w:rsidR="00687AAF" w:rsidRPr="0012648E" w:rsidRDefault="00687AAF" w:rsidP="00687AAF">
      <w:pPr>
        <w:pStyle w:val="Body"/>
        <w:rPr>
          <w:rFonts w:ascii="Arial" w:hAnsi="Arial" w:cs="Arial"/>
        </w:rPr>
      </w:pPr>
      <w:r w:rsidRPr="0012648E">
        <w:rPr>
          <w:rFonts w:ascii="Arial" w:hAnsi="Arial" w:cs="Arial"/>
        </w:rPr>
        <w:t xml:space="preserve">In recent years, there has been growing interest in understanding the complex interactions between </w:t>
      </w:r>
      <w:r w:rsidR="00A90485">
        <w:rPr>
          <w:rFonts w:ascii="Arial" w:hAnsi="Arial" w:cs="Arial"/>
        </w:rPr>
        <w:t>ph</w:t>
      </w:r>
      <w:r w:rsidRPr="0012648E">
        <w:rPr>
          <w:rFonts w:ascii="Arial" w:hAnsi="Arial" w:cs="Arial"/>
        </w:rPr>
        <w:t xml:space="preserve">ysicochemical parameters and biological communities in humic freshwater ecosystems. </w:t>
      </w:r>
      <w:r w:rsidR="00A90485">
        <w:rPr>
          <w:rFonts w:ascii="Arial" w:hAnsi="Arial" w:cs="Arial"/>
        </w:rPr>
        <w:t xml:space="preserve">Macrophytes </w:t>
      </w:r>
      <w:r w:rsidR="00A90485" w:rsidRPr="0012648E">
        <w:rPr>
          <w:rFonts w:ascii="Arial" w:hAnsi="Arial" w:cs="Arial"/>
        </w:rPr>
        <w:t>in</w:t>
      </w:r>
      <w:r w:rsidRPr="0012648E">
        <w:rPr>
          <w:rFonts w:ascii="Arial" w:hAnsi="Arial" w:cs="Arial"/>
        </w:rPr>
        <w:t xml:space="preserve"> particular have emerged as critical indicators of ecosystem health and f</w:t>
      </w:r>
      <w:r w:rsidR="009638B7">
        <w:rPr>
          <w:rFonts w:ascii="Arial" w:hAnsi="Arial" w:cs="Arial"/>
        </w:rPr>
        <w:t>unction</w:t>
      </w:r>
      <w:r w:rsidR="0005468B">
        <w:rPr>
          <w:rFonts w:ascii="Arial" w:hAnsi="Arial" w:cs="Arial"/>
          <w:vertAlign w:val="superscript"/>
        </w:rPr>
        <w:t>36</w:t>
      </w:r>
      <w:r w:rsidRPr="0012648E">
        <w:rPr>
          <w:rFonts w:ascii="Arial" w:hAnsi="Arial" w:cs="Arial"/>
        </w:rPr>
        <w:t>. Their associations and distributions are influenced by various limnological factors, making them valuable subjects for ecological research</w:t>
      </w:r>
      <w:r w:rsidR="0005468B">
        <w:rPr>
          <w:rFonts w:ascii="Arial" w:hAnsi="Arial" w:cs="Arial"/>
          <w:vertAlign w:val="superscript"/>
        </w:rPr>
        <w:t>4</w:t>
      </w:r>
      <w:r w:rsidRPr="0012648E">
        <w:rPr>
          <w:rFonts w:ascii="Arial" w:hAnsi="Arial" w:cs="Arial"/>
        </w:rPr>
        <w:t>.</w:t>
      </w:r>
    </w:p>
    <w:p w:rsidR="00687AAF" w:rsidRDefault="00687AAF" w:rsidP="00687AAF">
      <w:pPr>
        <w:pStyle w:val="Body"/>
        <w:spacing w:after="0"/>
        <w:rPr>
          <w:rFonts w:ascii="Arial" w:hAnsi="Arial" w:cs="Arial"/>
        </w:rPr>
      </w:pPr>
      <w:r w:rsidRPr="0012648E">
        <w:rPr>
          <w:rFonts w:ascii="Arial" w:hAnsi="Arial" w:cs="Arial"/>
        </w:rPr>
        <w:t>This study focuses on the Eniong River in Itu, Nigeria, a humic freshwater ecosystem that has received limited scientific attention. However, like many freshwater ecosystems in developing regions, the Eniong River faces threats from anthropogenic activities such as deforestation, agricultural runoff, and u</w:t>
      </w:r>
      <w:r w:rsidR="009638B7">
        <w:rPr>
          <w:rFonts w:ascii="Arial" w:hAnsi="Arial" w:cs="Arial"/>
        </w:rPr>
        <w:t>rban development</w:t>
      </w:r>
      <w:r w:rsidR="009638B7">
        <w:rPr>
          <w:rFonts w:ascii="Arial" w:hAnsi="Arial" w:cs="Arial"/>
          <w:vertAlign w:val="superscript"/>
        </w:rPr>
        <w:t>1</w:t>
      </w:r>
      <w:r w:rsidRPr="0012648E">
        <w:rPr>
          <w:rFonts w:ascii="Arial" w:hAnsi="Arial" w:cs="Arial"/>
        </w:rPr>
        <w:t xml:space="preserve">. By investigating the limnological determinants of </w:t>
      </w:r>
      <w:r w:rsidR="00A90485">
        <w:rPr>
          <w:rFonts w:ascii="Arial" w:hAnsi="Arial" w:cs="Arial"/>
        </w:rPr>
        <w:t>macrophyte</w:t>
      </w:r>
      <w:r w:rsidRPr="0012648E">
        <w:rPr>
          <w:rFonts w:ascii="Arial" w:hAnsi="Arial" w:cs="Arial"/>
        </w:rPr>
        <w:t xml:space="preserve"> associations in this river, we aim to contribute to the broader understanding of tropical humic freshwater ecosystems and their ecological dynamics.</w:t>
      </w:r>
    </w:p>
    <w:p w:rsidR="00687AAF" w:rsidRPr="00FB3A86" w:rsidRDefault="00687AAF" w:rsidP="00687AAF">
      <w:pPr>
        <w:pStyle w:val="Body"/>
        <w:spacing w:after="0"/>
        <w:rPr>
          <w:rFonts w:ascii="Arial" w:hAnsi="Arial" w:cs="Arial"/>
        </w:rPr>
      </w:pPr>
    </w:p>
    <w:p w:rsidR="00687AAF" w:rsidRDefault="00687AAF" w:rsidP="00687AAF">
      <w:pPr>
        <w:pStyle w:val="AbstHead"/>
        <w:spacing w:after="0"/>
        <w:jc w:val="both"/>
        <w:rPr>
          <w:rFonts w:ascii="Arial" w:hAnsi="Arial" w:cs="Arial"/>
        </w:rPr>
      </w:pPr>
      <w:r>
        <w:rPr>
          <w:rFonts w:ascii="Arial" w:hAnsi="Arial" w:cs="Arial"/>
        </w:rPr>
        <w:t>2. material and methods</w:t>
      </w:r>
    </w:p>
    <w:p w:rsidR="00687AAF" w:rsidRPr="00FB3A86" w:rsidRDefault="00687AAF" w:rsidP="00687AAF">
      <w:pPr>
        <w:pStyle w:val="AbstHead"/>
        <w:spacing w:after="0"/>
        <w:jc w:val="both"/>
        <w:rPr>
          <w:rFonts w:ascii="Arial" w:hAnsi="Arial" w:cs="Arial"/>
        </w:rPr>
      </w:pPr>
    </w:p>
    <w:p w:rsidR="00687AAF" w:rsidRPr="00A90957" w:rsidRDefault="00687AAF" w:rsidP="00687AAF">
      <w:pPr>
        <w:pStyle w:val="Body"/>
        <w:rPr>
          <w:rFonts w:ascii="Arial" w:hAnsi="Arial" w:cs="Arial"/>
          <w:b/>
          <w:sz w:val="22"/>
          <w:szCs w:val="22"/>
        </w:rPr>
      </w:pPr>
      <w:r w:rsidRPr="00A90957">
        <w:rPr>
          <w:rFonts w:ascii="Arial" w:hAnsi="Arial" w:cs="Arial"/>
          <w:b/>
          <w:sz w:val="22"/>
          <w:szCs w:val="22"/>
        </w:rPr>
        <w:t>2.1 STUDY AREA DESCRIPTION</w:t>
      </w:r>
    </w:p>
    <w:p w:rsidR="00687AAF" w:rsidRPr="00A90957" w:rsidRDefault="00687AAF" w:rsidP="00687AAF">
      <w:pPr>
        <w:pStyle w:val="Body"/>
        <w:rPr>
          <w:rFonts w:ascii="Arial" w:hAnsi="Arial" w:cs="Arial"/>
        </w:rPr>
      </w:pPr>
      <w:r w:rsidRPr="00A90957">
        <w:rPr>
          <w:rFonts w:ascii="Arial" w:hAnsi="Arial" w:cs="Arial"/>
        </w:rPr>
        <w:t>The study was conducted on the Eniong River, a tributary of the Cross River, located in Itu Local Government Area of Akwa Ibom State, Nigeria. The river lies approximately between latitudes 5°10' and 5°30' N and longitudes 7°45'</w:t>
      </w:r>
      <w:r w:rsidR="009638B7">
        <w:rPr>
          <w:rFonts w:ascii="Arial" w:hAnsi="Arial" w:cs="Arial"/>
        </w:rPr>
        <w:t xml:space="preserve"> and 8°00' E </w:t>
      </w:r>
      <w:r w:rsidR="009638B7">
        <w:rPr>
          <w:rFonts w:ascii="Arial" w:hAnsi="Arial" w:cs="Arial"/>
          <w:vertAlign w:val="superscript"/>
        </w:rPr>
        <w:t>1</w:t>
      </w:r>
      <w:r w:rsidR="0005468B">
        <w:rPr>
          <w:rFonts w:ascii="Arial" w:hAnsi="Arial" w:cs="Arial"/>
          <w:vertAlign w:val="superscript"/>
        </w:rPr>
        <w:t>5</w:t>
      </w:r>
      <w:r w:rsidRPr="00A90957">
        <w:rPr>
          <w:rFonts w:ascii="Arial" w:hAnsi="Arial" w:cs="Arial"/>
        </w:rPr>
        <w:t>. The climate of the area is characterized by two distinct seasons: a wet season from April to October and a dry season from November to March. The mean annual rainfall ranges from 2000 to 3000 mm, with average temperatures between 26°C</w:t>
      </w:r>
      <w:r w:rsidR="00066C79">
        <w:rPr>
          <w:rFonts w:ascii="Arial" w:hAnsi="Arial" w:cs="Arial"/>
        </w:rPr>
        <w:t xml:space="preserve"> and 28°C </w:t>
      </w:r>
      <w:r w:rsidR="0005468B">
        <w:rPr>
          <w:rFonts w:ascii="Arial" w:hAnsi="Arial" w:cs="Arial"/>
          <w:vertAlign w:val="superscript"/>
        </w:rPr>
        <w:t>1</w:t>
      </w:r>
      <w:r w:rsidRPr="00A90957">
        <w:rPr>
          <w:rFonts w:ascii="Arial" w:hAnsi="Arial" w:cs="Arial"/>
        </w:rPr>
        <w:t>.</w:t>
      </w:r>
    </w:p>
    <w:p w:rsidR="00687AAF" w:rsidRDefault="00687AAF" w:rsidP="00687AAF">
      <w:pPr>
        <w:pStyle w:val="Body"/>
        <w:spacing w:after="0"/>
        <w:rPr>
          <w:rFonts w:ascii="Arial" w:hAnsi="Arial" w:cs="Arial"/>
        </w:rPr>
      </w:pPr>
      <w:r w:rsidRPr="00A90957">
        <w:rPr>
          <w:rFonts w:ascii="Arial" w:hAnsi="Arial" w:cs="Arial"/>
        </w:rPr>
        <w:t>The Eniong River flows through a landscape dominated by tropical rainforest and mangrove swamps. The river basin is influenced by natural processes and anthropogenic activities, including agriculture, fishing, and small-scale industrial operations. The surrounding vegetation contributes significant amounts of organic matter to the river, resulting in its h</w:t>
      </w:r>
      <w:r w:rsidR="00066C79">
        <w:rPr>
          <w:rFonts w:ascii="Arial" w:hAnsi="Arial" w:cs="Arial"/>
        </w:rPr>
        <w:t>umic nature</w:t>
      </w:r>
      <w:r w:rsidR="00066C79">
        <w:rPr>
          <w:rFonts w:ascii="Arial" w:hAnsi="Arial" w:cs="Arial"/>
          <w:vertAlign w:val="superscript"/>
        </w:rPr>
        <w:t>1</w:t>
      </w:r>
      <w:r w:rsidRPr="00A90957">
        <w:rPr>
          <w:rFonts w:ascii="Arial" w:hAnsi="Arial" w:cs="Arial"/>
        </w:rPr>
        <w:t>.</w:t>
      </w:r>
    </w:p>
    <w:p w:rsidR="00687AAF" w:rsidRDefault="00687AAF" w:rsidP="00687AAF">
      <w:pPr>
        <w:pStyle w:val="Body"/>
        <w:spacing w:after="0"/>
        <w:rPr>
          <w:rFonts w:ascii="Arial" w:hAnsi="Arial" w:cs="Arial"/>
        </w:rPr>
      </w:pPr>
    </w:p>
    <w:p w:rsidR="00687AAF" w:rsidRDefault="00687AAF" w:rsidP="00687AAF">
      <w:pPr>
        <w:pStyle w:val="Body"/>
        <w:spacing w:after="0"/>
        <w:rPr>
          <w:rFonts w:ascii="Arial" w:hAnsi="Arial" w:cs="Arial"/>
        </w:rPr>
      </w:pPr>
      <w:r w:rsidRPr="00A90957">
        <w:rPr>
          <w:rFonts w:ascii="Arial" w:hAnsi="Arial" w:cs="Arial"/>
          <w:noProof/>
          <w:lang w:val="en-GB" w:eastAsia="en-GB"/>
        </w:rPr>
        <w:lastRenderedPageBreak/>
        <w:drawing>
          <wp:inline distT="0" distB="0" distL="0" distR="0">
            <wp:extent cx="5212080" cy="4627854"/>
            <wp:effectExtent l="19050" t="0" r="7620" b="0"/>
            <wp:docPr id="5" name="Picture 1" descr="C:\Users\imedimfon1\AppData\Local\Microsoft\Windows\INetCache\Content.Word\Final S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edimfon1\AppData\Local\Microsoft\Windows\INetCache\Content.Word\Final Stations.jpg"/>
                    <pic:cNvPicPr>
                      <a:picLocks noChangeAspect="1" noChangeArrowheads="1"/>
                    </pic:cNvPicPr>
                  </pic:nvPicPr>
                  <pic:blipFill>
                    <a:blip r:embed="rId13" cstate="print"/>
                    <a:srcRect/>
                    <a:stretch>
                      <a:fillRect/>
                    </a:stretch>
                  </pic:blipFill>
                  <pic:spPr bwMode="auto">
                    <a:xfrm>
                      <a:off x="0" y="0"/>
                      <a:ext cx="5212080" cy="4627854"/>
                    </a:xfrm>
                    <a:prstGeom prst="rect">
                      <a:avLst/>
                    </a:prstGeom>
                    <a:noFill/>
                    <a:ln w="9525">
                      <a:noFill/>
                      <a:miter lim="800000"/>
                      <a:headEnd/>
                      <a:tailEnd/>
                    </a:ln>
                  </pic:spPr>
                </pic:pic>
              </a:graphicData>
            </a:graphic>
          </wp:inline>
        </w:drawing>
      </w:r>
    </w:p>
    <w:p w:rsidR="00687AAF" w:rsidRDefault="00687AAF" w:rsidP="00687AAF">
      <w:pPr>
        <w:pStyle w:val="Body"/>
        <w:spacing w:after="0"/>
        <w:rPr>
          <w:rFonts w:ascii="Arial" w:hAnsi="Arial" w:cs="Arial"/>
        </w:rPr>
      </w:pPr>
      <w:r w:rsidRPr="00A90957">
        <w:rPr>
          <w:rFonts w:ascii="Arial" w:hAnsi="Arial" w:cs="Arial"/>
        </w:rPr>
        <w:t>Figure 1: Map of Eniong river showing sampling stations.</w:t>
      </w:r>
    </w:p>
    <w:p w:rsidR="00687AAF" w:rsidRDefault="00687AAF" w:rsidP="00687AAF">
      <w:pPr>
        <w:pStyle w:val="Body"/>
        <w:spacing w:after="0"/>
        <w:rPr>
          <w:rFonts w:ascii="Arial" w:hAnsi="Arial" w:cs="Arial"/>
        </w:rPr>
      </w:pPr>
    </w:p>
    <w:p w:rsidR="00687AAF" w:rsidRPr="00A90957" w:rsidRDefault="00687AAF" w:rsidP="00687AAF">
      <w:pPr>
        <w:pStyle w:val="Body"/>
        <w:rPr>
          <w:rFonts w:ascii="Arial" w:hAnsi="Arial" w:cs="Arial"/>
          <w:b/>
          <w:sz w:val="22"/>
        </w:rPr>
      </w:pPr>
      <w:r w:rsidRPr="00A90957">
        <w:rPr>
          <w:rFonts w:ascii="Arial" w:hAnsi="Arial" w:cs="Arial"/>
          <w:b/>
          <w:sz w:val="22"/>
        </w:rPr>
        <w:t>2.2 SAMPLING DESIGN AND DATA COLLECTION</w:t>
      </w:r>
    </w:p>
    <w:p w:rsidR="00687AAF" w:rsidRPr="00A90957" w:rsidRDefault="00687AAF" w:rsidP="00687AAF">
      <w:pPr>
        <w:pStyle w:val="Body"/>
        <w:rPr>
          <w:rFonts w:ascii="Arial" w:hAnsi="Arial" w:cs="Arial"/>
        </w:rPr>
      </w:pPr>
      <w:r w:rsidRPr="00A90957">
        <w:rPr>
          <w:rFonts w:ascii="Arial" w:hAnsi="Arial" w:cs="Arial"/>
        </w:rPr>
        <w:t>A stratified random sampling design was employed to ensure comprehensive coverage of the river ecosystem. The river was divided into four zones (upper, middle, mid low and lower reaches) based on geomor</w:t>
      </w:r>
      <w:r w:rsidR="00A90485">
        <w:rPr>
          <w:rFonts w:ascii="Arial" w:hAnsi="Arial" w:cs="Arial"/>
        </w:rPr>
        <w:t>ph</w:t>
      </w:r>
      <w:r w:rsidRPr="00A90957">
        <w:rPr>
          <w:rFonts w:ascii="Arial" w:hAnsi="Arial" w:cs="Arial"/>
        </w:rPr>
        <w:t xml:space="preserve">ological characteristics and land use patterns for collection of </w:t>
      </w:r>
      <w:r w:rsidR="00A90485">
        <w:rPr>
          <w:rFonts w:ascii="Arial" w:hAnsi="Arial" w:cs="Arial"/>
        </w:rPr>
        <w:t>macrophyte</w:t>
      </w:r>
      <w:r w:rsidRPr="00A90957">
        <w:rPr>
          <w:rFonts w:ascii="Arial" w:hAnsi="Arial" w:cs="Arial"/>
        </w:rPr>
        <w:t xml:space="preserve"> and limnological data.  </w:t>
      </w:r>
      <w:r w:rsidR="00A90485">
        <w:rPr>
          <w:rFonts w:ascii="Arial" w:hAnsi="Arial" w:cs="Arial"/>
        </w:rPr>
        <w:t xml:space="preserve">Macrophytes </w:t>
      </w:r>
      <w:r w:rsidR="00A90485" w:rsidRPr="00A90957">
        <w:rPr>
          <w:rFonts w:ascii="Arial" w:hAnsi="Arial" w:cs="Arial"/>
        </w:rPr>
        <w:t>were</w:t>
      </w:r>
      <w:r w:rsidRPr="00A90957">
        <w:rPr>
          <w:rFonts w:ascii="Arial" w:hAnsi="Arial" w:cs="Arial"/>
        </w:rPr>
        <w:t xml:space="preserve"> collected manually from four sampling Stations selected as representative of the entire river ecosystem. Station 1 and 4 were selected for comparison of species composition between river inlet and outlet, respectively. Station 2 was close to settlement area having higher exposure to anthropogenic activities whereas Station 3 was distant from settlements. </w:t>
      </w:r>
      <w:r w:rsidR="00A90485">
        <w:rPr>
          <w:rFonts w:ascii="Arial" w:hAnsi="Arial" w:cs="Arial"/>
        </w:rPr>
        <w:t>Macrophyte</w:t>
      </w:r>
      <w:r w:rsidRPr="00A90957">
        <w:rPr>
          <w:rFonts w:ascii="Arial" w:hAnsi="Arial" w:cs="Arial"/>
        </w:rPr>
        <w:t xml:space="preserve"> surveys were conducted using a combination of transect and quadrat methods as descr</w:t>
      </w:r>
      <w:r w:rsidR="00066C79">
        <w:rPr>
          <w:rFonts w:ascii="Arial" w:hAnsi="Arial" w:cs="Arial"/>
        </w:rPr>
        <w:t>ibed by</w:t>
      </w:r>
      <w:r w:rsidR="0005468B">
        <w:rPr>
          <w:rFonts w:ascii="Arial" w:hAnsi="Arial" w:cs="Arial"/>
          <w:lang w:val="en-GB" w:eastAsia="en-GB"/>
        </w:rPr>
        <w:t xml:space="preserve"> </w:t>
      </w:r>
      <w:r w:rsidR="0005468B">
        <w:rPr>
          <w:rStyle w:val="Strong"/>
          <w:b w:val="0"/>
        </w:rPr>
        <w:t>Santos</w:t>
      </w:r>
      <w:r w:rsidR="0005468B" w:rsidRPr="007C4084">
        <w:rPr>
          <w:rStyle w:val="Strong"/>
          <w:b w:val="0"/>
        </w:rPr>
        <w:t xml:space="preserve"> </w:t>
      </w:r>
      <w:r w:rsidR="0005468B" w:rsidRPr="007C4084">
        <w:t xml:space="preserve">and </w:t>
      </w:r>
      <w:r w:rsidR="0005468B" w:rsidRPr="007C4084">
        <w:rPr>
          <w:rStyle w:val="Strong"/>
          <w:b w:val="0"/>
        </w:rPr>
        <w:t>Anderson</w:t>
      </w:r>
      <w:r w:rsidR="0005468B">
        <w:rPr>
          <w:rFonts w:ascii="Arial" w:hAnsi="Arial" w:cs="Arial"/>
          <w:vertAlign w:val="superscript"/>
        </w:rPr>
        <w:t xml:space="preserve"> </w:t>
      </w:r>
      <w:r w:rsidR="00066C79">
        <w:rPr>
          <w:rFonts w:ascii="Arial" w:hAnsi="Arial" w:cs="Arial"/>
          <w:vertAlign w:val="superscript"/>
        </w:rPr>
        <w:t>3</w:t>
      </w:r>
      <w:r w:rsidR="0005468B">
        <w:rPr>
          <w:rFonts w:ascii="Arial" w:hAnsi="Arial" w:cs="Arial"/>
          <w:vertAlign w:val="superscript"/>
        </w:rPr>
        <w:t>4</w:t>
      </w:r>
      <w:r w:rsidRPr="00A90957">
        <w:rPr>
          <w:rFonts w:ascii="Arial" w:hAnsi="Arial" w:cs="Arial"/>
        </w:rPr>
        <w:t xml:space="preserve">. At each sampling station, three </w:t>
      </w:r>
      <w:r w:rsidR="00A90485" w:rsidRPr="00A90957">
        <w:rPr>
          <w:rFonts w:ascii="Arial" w:hAnsi="Arial" w:cs="Arial"/>
        </w:rPr>
        <w:t>50-meters</w:t>
      </w:r>
      <w:r w:rsidRPr="00A90957">
        <w:rPr>
          <w:rFonts w:ascii="Arial" w:hAnsi="Arial" w:cs="Arial"/>
        </w:rPr>
        <w:t xml:space="preserve"> transects were established perpendicular to the river flow. Along each transect,</w:t>
      </w:r>
      <w:r w:rsidR="00C366B2">
        <w:rPr>
          <w:rFonts w:ascii="Arial" w:hAnsi="Arial" w:cs="Arial"/>
        </w:rPr>
        <w:t xml:space="preserve"> five </w:t>
      </w:r>
      <w:r w:rsidR="00C366B2" w:rsidRPr="009B1132">
        <w:rPr>
          <w:rFonts w:ascii="Arial" w:hAnsi="Arial" w:cs="Arial"/>
          <w:highlight w:val="yellow"/>
        </w:rPr>
        <w:t>1m</w:t>
      </w:r>
      <w:r w:rsidR="00C366B2" w:rsidRPr="009B1132">
        <w:rPr>
          <w:rFonts w:ascii="Arial" w:hAnsi="Arial" w:cs="Arial"/>
          <w:highlight w:val="yellow"/>
          <w:vertAlign w:val="superscript"/>
        </w:rPr>
        <w:t>2</w:t>
      </w:r>
      <w:r w:rsidRPr="00A90957">
        <w:rPr>
          <w:rFonts w:ascii="Arial" w:hAnsi="Arial" w:cs="Arial"/>
        </w:rPr>
        <w:t xml:space="preserve"> quadrats were randomly placed for detailed </w:t>
      </w:r>
      <w:r w:rsidR="00A90485">
        <w:rPr>
          <w:rFonts w:ascii="Arial" w:hAnsi="Arial" w:cs="Arial"/>
        </w:rPr>
        <w:t>macrophyte</w:t>
      </w:r>
      <w:r w:rsidRPr="00A90957">
        <w:rPr>
          <w:rFonts w:ascii="Arial" w:hAnsi="Arial" w:cs="Arial"/>
        </w:rPr>
        <w:t xml:space="preserve"> assessment. Within each quadrat, </w:t>
      </w:r>
      <w:r w:rsidR="00A90485">
        <w:rPr>
          <w:rFonts w:ascii="Arial" w:hAnsi="Arial" w:cs="Arial"/>
        </w:rPr>
        <w:t>macrophyte</w:t>
      </w:r>
      <w:r w:rsidRPr="00A90957">
        <w:rPr>
          <w:rFonts w:ascii="Arial" w:hAnsi="Arial" w:cs="Arial"/>
        </w:rPr>
        <w:t xml:space="preserve"> species were identified, and their percent cover was estimated visually. </w:t>
      </w:r>
      <w:r w:rsidR="00A90485">
        <w:rPr>
          <w:rFonts w:ascii="Arial" w:hAnsi="Arial" w:cs="Arial"/>
        </w:rPr>
        <w:t>Macrophyte</w:t>
      </w:r>
      <w:r w:rsidRPr="00A90957">
        <w:rPr>
          <w:rFonts w:ascii="Arial" w:hAnsi="Arial" w:cs="Arial"/>
        </w:rPr>
        <w:t xml:space="preserve"> species  w</w:t>
      </w:r>
      <w:r w:rsidR="00A90485">
        <w:rPr>
          <w:rFonts w:ascii="Arial" w:hAnsi="Arial" w:cs="Arial"/>
        </w:rPr>
        <w:t>ere  collected  and  deposite</w:t>
      </w:r>
      <w:r w:rsidRPr="00A90957">
        <w:rPr>
          <w:rFonts w:ascii="Arial" w:hAnsi="Arial" w:cs="Arial"/>
        </w:rPr>
        <w:t xml:space="preserve">d  at  the  Department  of  Botany  and  Ecological  studies  herbarium  at  the  University  of  Uyo,  Uyo  for  proper  identification. </w:t>
      </w:r>
      <w:r w:rsidR="00A90485">
        <w:rPr>
          <w:rFonts w:ascii="Arial" w:hAnsi="Arial" w:cs="Arial"/>
        </w:rPr>
        <w:t xml:space="preserve"> </w:t>
      </w:r>
      <w:r w:rsidRPr="00A90957">
        <w:rPr>
          <w:rFonts w:ascii="Arial" w:hAnsi="Arial" w:cs="Arial"/>
        </w:rPr>
        <w:t xml:space="preserve">Limnological variables including water temperature (WT), </w:t>
      </w:r>
      <w:r w:rsidR="00AE2082">
        <w:rPr>
          <w:rFonts w:ascii="Arial" w:hAnsi="Arial" w:cs="Arial"/>
        </w:rPr>
        <w:t>pH</w:t>
      </w:r>
      <w:r w:rsidRPr="00A90957">
        <w:rPr>
          <w:rFonts w:ascii="Arial" w:hAnsi="Arial" w:cs="Arial"/>
        </w:rPr>
        <w:t xml:space="preserve">, conductivity and dissolved oxygen (DO) were analysed in situ using HACH portable multimeter (Model HQ30d) and turbidity using EUTECH TN100 portable turbidimeter. Laboratory analysis of water alkalinity, </w:t>
      </w:r>
      <w:r w:rsidR="00055286" w:rsidRPr="00055286">
        <w:rPr>
          <w:rFonts w:ascii="Arial" w:hAnsi="Arial" w:cs="Arial"/>
          <w:highlight w:val="yellow"/>
        </w:rPr>
        <w:t>Biological oxygen demand (BOD)</w:t>
      </w:r>
      <w:r w:rsidRPr="00055286">
        <w:rPr>
          <w:rFonts w:ascii="Arial" w:hAnsi="Arial" w:cs="Arial"/>
          <w:highlight w:val="yellow"/>
        </w:rPr>
        <w:t>,</w:t>
      </w:r>
      <w:r w:rsidRPr="00A90957">
        <w:rPr>
          <w:rFonts w:ascii="Arial" w:hAnsi="Arial" w:cs="Arial"/>
        </w:rPr>
        <w:t xml:space="preserve"> nitrate </w:t>
      </w:r>
      <w:r w:rsidR="00C366B2" w:rsidRPr="00C366B2">
        <w:rPr>
          <w:rFonts w:ascii="Arial" w:hAnsi="Arial" w:cs="Arial"/>
          <w:bCs/>
          <w:highlight w:val="yellow"/>
          <w:lang w:val="en-GB"/>
        </w:rPr>
        <w:t>NO</w:t>
      </w:r>
      <w:r w:rsidR="00C366B2" w:rsidRPr="00C366B2">
        <w:rPr>
          <w:rFonts w:ascii="Arial" w:hAnsi="Arial" w:cs="Arial"/>
          <w:bCs/>
          <w:highlight w:val="yellow"/>
          <w:vertAlign w:val="subscript"/>
          <w:lang w:val="en-GB"/>
        </w:rPr>
        <w:t>3</w:t>
      </w:r>
      <w:r w:rsidR="00C366B2" w:rsidRPr="00C366B2">
        <w:rPr>
          <w:bCs/>
          <w:highlight w:val="yellow"/>
          <w:lang w:val="en-GB"/>
        </w:rPr>
        <w:t>-N</w:t>
      </w:r>
      <w:r w:rsidR="00C366B2" w:rsidRPr="00C366B2">
        <w:rPr>
          <w:bCs/>
          <w:lang w:val="en-GB"/>
        </w:rPr>
        <w:t xml:space="preserve">, </w:t>
      </w:r>
      <w:r w:rsidR="001000DD">
        <w:rPr>
          <w:rFonts w:ascii="Arial" w:hAnsi="Arial" w:cs="Arial"/>
        </w:rPr>
        <w:lastRenderedPageBreak/>
        <w:t>phosphate</w:t>
      </w:r>
      <w:r w:rsidRPr="00A90957">
        <w:rPr>
          <w:rFonts w:ascii="Arial" w:hAnsi="Arial" w:cs="Arial"/>
        </w:rPr>
        <w:t xml:space="preserve"> </w:t>
      </w:r>
      <w:r w:rsidR="00C366B2" w:rsidRPr="00C366B2">
        <w:rPr>
          <w:rFonts w:ascii="Arial" w:hAnsi="Arial" w:cs="Arial"/>
          <w:bCs/>
          <w:highlight w:val="yellow"/>
          <w:lang w:val="en-GB"/>
        </w:rPr>
        <w:t>Po</w:t>
      </w:r>
      <w:r w:rsidR="00C366B2" w:rsidRPr="00C366B2">
        <w:rPr>
          <w:rFonts w:ascii="Arial" w:hAnsi="Arial" w:cs="Arial"/>
          <w:bCs/>
          <w:highlight w:val="yellow"/>
          <w:vertAlign w:val="subscript"/>
          <w:lang w:val="en-GB"/>
        </w:rPr>
        <w:t>4</w:t>
      </w:r>
      <w:r w:rsidR="00C366B2" w:rsidRPr="00C366B2">
        <w:rPr>
          <w:rFonts w:ascii="Arial" w:hAnsi="Arial" w:cs="Arial"/>
          <w:bCs/>
          <w:highlight w:val="yellow"/>
          <w:lang w:val="en-GB"/>
        </w:rPr>
        <w:t>-P</w:t>
      </w:r>
      <w:r w:rsidR="00C366B2" w:rsidRPr="00C366B2">
        <w:rPr>
          <w:rFonts w:ascii="Arial" w:hAnsi="Arial" w:cs="Arial"/>
          <w:bCs/>
          <w:lang w:val="en-GB"/>
        </w:rPr>
        <w:t xml:space="preserve">.  </w:t>
      </w:r>
      <w:r w:rsidRPr="00A90957">
        <w:rPr>
          <w:rFonts w:ascii="Arial" w:hAnsi="Arial" w:cs="Arial"/>
        </w:rPr>
        <w:t xml:space="preserve">total nitrogen (TN) and total </w:t>
      </w:r>
      <w:r w:rsidR="001000DD">
        <w:rPr>
          <w:rFonts w:ascii="Arial" w:hAnsi="Arial" w:cs="Arial"/>
        </w:rPr>
        <w:t>Phosphorus</w:t>
      </w:r>
      <w:r w:rsidRPr="00A90957">
        <w:rPr>
          <w:rFonts w:ascii="Arial" w:hAnsi="Arial" w:cs="Arial"/>
        </w:rPr>
        <w:t xml:space="preserve"> (TP) was conducted based on standard meth</w:t>
      </w:r>
      <w:r w:rsidR="00066C79">
        <w:rPr>
          <w:rFonts w:ascii="Arial" w:hAnsi="Arial" w:cs="Arial"/>
        </w:rPr>
        <w:t>ods as described in A</w:t>
      </w:r>
      <w:r w:rsidR="00AE2082">
        <w:rPr>
          <w:rFonts w:ascii="Arial" w:hAnsi="Arial" w:cs="Arial"/>
        </w:rPr>
        <w:t>PH</w:t>
      </w:r>
      <w:r w:rsidR="00066C79">
        <w:rPr>
          <w:rFonts w:ascii="Arial" w:hAnsi="Arial" w:cs="Arial"/>
        </w:rPr>
        <w:t xml:space="preserve">A </w:t>
      </w:r>
      <w:r w:rsidR="007140AE">
        <w:rPr>
          <w:rFonts w:ascii="Arial" w:hAnsi="Arial" w:cs="Arial"/>
          <w:vertAlign w:val="superscript"/>
        </w:rPr>
        <w:t>3,18</w:t>
      </w:r>
      <w:r w:rsidR="00066C79">
        <w:rPr>
          <w:rFonts w:ascii="Arial" w:hAnsi="Arial" w:cs="Arial"/>
          <w:vertAlign w:val="superscript"/>
        </w:rPr>
        <w:t>.</w:t>
      </w:r>
      <w:r w:rsidRPr="00A90957">
        <w:rPr>
          <w:rFonts w:ascii="Arial" w:hAnsi="Arial" w:cs="Arial"/>
        </w:rPr>
        <w:t>.</w:t>
      </w:r>
      <w:r w:rsidR="00FD19F7">
        <w:rPr>
          <w:rFonts w:ascii="Arial" w:hAnsi="Arial" w:cs="Arial"/>
        </w:rPr>
        <w:t xml:space="preserve"> </w:t>
      </w:r>
      <w:r w:rsidR="00FD19F7" w:rsidRPr="00FD19F7">
        <w:rPr>
          <w:rFonts w:ascii="Arial" w:hAnsi="Arial" w:cs="Arial"/>
          <w:highlight w:val="yellow"/>
        </w:rPr>
        <w:t xml:space="preserve">Atomic Absorption Spectroscopy (AAS) was employed in solid sample digestion for heavy metal using standard methods as described in APHA </w:t>
      </w:r>
      <w:r w:rsidR="00FD19F7" w:rsidRPr="00FD19F7">
        <w:rPr>
          <w:rFonts w:ascii="Arial" w:hAnsi="Arial" w:cs="Arial"/>
          <w:highlight w:val="yellow"/>
          <w:vertAlign w:val="superscript"/>
        </w:rPr>
        <w:t>3,</w:t>
      </w:r>
      <w:r w:rsidR="007140AE">
        <w:rPr>
          <w:rFonts w:ascii="Arial" w:hAnsi="Arial" w:cs="Arial"/>
          <w:vertAlign w:val="superscript"/>
        </w:rPr>
        <w:t>18</w:t>
      </w:r>
    </w:p>
    <w:p w:rsidR="00687AAF" w:rsidRPr="00A90957" w:rsidRDefault="00687AAF" w:rsidP="00687AAF">
      <w:pPr>
        <w:pStyle w:val="Body"/>
        <w:rPr>
          <w:rFonts w:ascii="Arial" w:hAnsi="Arial" w:cs="Arial"/>
          <w:b/>
          <w:sz w:val="22"/>
        </w:rPr>
      </w:pPr>
      <w:r w:rsidRPr="00A90957">
        <w:rPr>
          <w:rFonts w:ascii="Arial" w:hAnsi="Arial" w:cs="Arial"/>
          <w:b/>
          <w:sz w:val="22"/>
        </w:rPr>
        <w:t>2.3 ECOLOGICAL INDICES</w:t>
      </w:r>
    </w:p>
    <w:p w:rsidR="00687AAF" w:rsidRPr="00A90957" w:rsidRDefault="00687AAF" w:rsidP="00687AAF">
      <w:pPr>
        <w:pStyle w:val="Body"/>
        <w:rPr>
          <w:rFonts w:ascii="Arial" w:hAnsi="Arial" w:cs="Arial"/>
        </w:rPr>
      </w:pPr>
      <w:r w:rsidRPr="00A90957">
        <w:rPr>
          <w:rFonts w:ascii="Arial" w:hAnsi="Arial" w:cs="Arial"/>
        </w:rPr>
        <w:t xml:space="preserve">Ecological indices provide a quantitative approach to depict patterns among </w:t>
      </w:r>
      <w:r w:rsidR="00A90485">
        <w:rPr>
          <w:rFonts w:ascii="Arial" w:hAnsi="Arial" w:cs="Arial"/>
        </w:rPr>
        <w:t>macrophyte</w:t>
      </w:r>
      <w:r w:rsidRPr="00A90957">
        <w:rPr>
          <w:rFonts w:ascii="Arial" w:hAnsi="Arial" w:cs="Arial"/>
        </w:rPr>
        <w:t xml:space="preserve"> distribution. A wide variety of indices have been developed recently which can be broadly divided into five categories: Composition, Abundance, Richness, Evenness and Diversity. In order to ensure comparability with existing literature and low redundancy, six metrics were selected. Relative abundance is a measure of occurrence of a species with respect to the total number of species that occur in an area. Importance Value index (IVI) is the sum of relative density (numerical strength of a species in relation to total number of individuals of all species), relative frequency (degree of dispersion of a species in an area in relation to the total number of species) and abundance (percent cover). Shannon Weiner index is a classic index for measuring the diversity contained in any ecosystem with members belonging to different forms, types and species (Equ</w:t>
      </w:r>
      <w:r w:rsidR="00066C79">
        <w:rPr>
          <w:rFonts w:ascii="Arial" w:hAnsi="Arial" w:cs="Arial"/>
        </w:rPr>
        <w:t>ation 4)</w:t>
      </w:r>
      <w:r w:rsidR="007140AE">
        <w:rPr>
          <w:rFonts w:ascii="Arial" w:hAnsi="Arial" w:cs="Arial"/>
          <w:vertAlign w:val="superscript"/>
        </w:rPr>
        <w:t>37</w:t>
      </w:r>
      <w:r w:rsidRPr="00A90957">
        <w:rPr>
          <w:rFonts w:ascii="Arial" w:hAnsi="Arial" w:cs="Arial"/>
        </w:rPr>
        <w:t>. Margalef index is another index for species richness, using the total number of species over the number of individual</w:t>
      </w:r>
      <w:r w:rsidR="00066C79">
        <w:rPr>
          <w:rFonts w:ascii="Arial" w:hAnsi="Arial" w:cs="Arial"/>
        </w:rPr>
        <w:t>s (Equation (3)</w:t>
      </w:r>
      <w:r w:rsidR="007140AE">
        <w:rPr>
          <w:rFonts w:ascii="Arial" w:hAnsi="Arial" w:cs="Arial"/>
          <w:vertAlign w:val="superscript"/>
        </w:rPr>
        <w:t>24</w:t>
      </w:r>
      <w:r w:rsidRPr="00A90957">
        <w:rPr>
          <w:rFonts w:ascii="Arial" w:hAnsi="Arial" w:cs="Arial"/>
        </w:rPr>
        <w:t>. Pielou’s evenness index refers to how evenly the species are distributed in an environment measured as a ratio of observed diversity to maximum divers</w:t>
      </w:r>
      <w:r w:rsidR="00066C79">
        <w:rPr>
          <w:rFonts w:ascii="Arial" w:hAnsi="Arial" w:cs="Arial"/>
        </w:rPr>
        <w:t>ity (Equation (2)</w:t>
      </w:r>
      <w:r w:rsidR="007140AE">
        <w:rPr>
          <w:rFonts w:ascii="Arial" w:hAnsi="Arial" w:cs="Arial"/>
          <w:vertAlign w:val="superscript"/>
        </w:rPr>
        <w:t>30</w:t>
      </w:r>
      <w:r w:rsidRPr="00A90957">
        <w:rPr>
          <w:rFonts w:ascii="Arial" w:hAnsi="Arial" w:cs="Arial"/>
        </w:rPr>
        <w:t>. As Pielou’s index (D) increases, diversity decreases and thus, Simpson’s evenness index is expressed as (1/D) as in Equation 1 below</w:t>
      </w:r>
    </w:p>
    <w:p w:rsidR="00687AAF" w:rsidRPr="00A90957" w:rsidRDefault="00687AAF" w:rsidP="00687AAF">
      <w:pPr>
        <w:pStyle w:val="Body"/>
        <w:rPr>
          <w:rFonts w:ascii="Arial" w:hAnsi="Arial" w:cs="Arial"/>
        </w:rPr>
      </w:pPr>
      <w:r w:rsidRPr="00A90957">
        <w:rPr>
          <w:rFonts w:ascii="Arial" w:hAnsi="Arial" w:cs="Arial"/>
        </w:rPr>
        <w:t xml:space="preserve">E= (1/D)/S, </w:t>
      </w:r>
      <w:r w:rsidRPr="00A90957">
        <w:rPr>
          <w:rFonts w:ascii="Arial" w:hAnsi="Arial" w:cs="Arial"/>
        </w:rPr>
        <w:tab/>
        <w:t>Equation (1)</w:t>
      </w:r>
    </w:p>
    <w:p w:rsidR="00687AAF" w:rsidRPr="00A90957" w:rsidRDefault="00687AAF" w:rsidP="00687AAF">
      <w:pPr>
        <w:pStyle w:val="Body"/>
        <w:rPr>
          <w:rFonts w:ascii="Arial" w:hAnsi="Arial" w:cs="Arial"/>
        </w:rPr>
      </w:pPr>
      <w:r w:rsidRPr="00A90957">
        <w:rPr>
          <w:rFonts w:ascii="Arial" w:hAnsi="Arial" w:cs="Arial"/>
        </w:rPr>
        <w:t>D= (S−1)/LnN, Equation (2)</w:t>
      </w:r>
    </w:p>
    <w:p w:rsidR="00687AAF" w:rsidRPr="00A90957" w:rsidRDefault="00687AAF" w:rsidP="00687AAF">
      <w:pPr>
        <w:pStyle w:val="Body"/>
        <w:rPr>
          <w:rFonts w:ascii="Arial" w:hAnsi="Arial" w:cs="Arial"/>
        </w:rPr>
      </w:pPr>
      <w:r w:rsidRPr="00A90957">
        <w:rPr>
          <w:rFonts w:ascii="Arial" w:hAnsi="Arial" w:cs="Arial"/>
        </w:rPr>
        <w:t xml:space="preserve">J′=H′/LnS, </w:t>
      </w:r>
      <w:r w:rsidRPr="00A90957">
        <w:rPr>
          <w:rFonts w:ascii="Arial" w:hAnsi="Arial" w:cs="Arial"/>
        </w:rPr>
        <w:tab/>
        <w:t>Equation (3)</w:t>
      </w:r>
    </w:p>
    <w:p w:rsidR="00687AAF" w:rsidRPr="00A90957" w:rsidRDefault="00687AAF" w:rsidP="00687AAF">
      <w:pPr>
        <w:pStyle w:val="Body"/>
        <w:rPr>
          <w:rFonts w:ascii="Arial" w:hAnsi="Arial" w:cs="Arial"/>
        </w:rPr>
      </w:pPr>
      <w:r w:rsidRPr="00A90957">
        <w:rPr>
          <w:rFonts w:ascii="Arial" w:hAnsi="Arial" w:cs="Arial"/>
        </w:rPr>
        <w:t>H′=-ΣPiLnPi, Equation (4)</w:t>
      </w:r>
    </w:p>
    <w:p w:rsidR="00687AAF" w:rsidRPr="00A90957" w:rsidRDefault="00687AAF" w:rsidP="00687AAF">
      <w:pPr>
        <w:pStyle w:val="Body"/>
        <w:rPr>
          <w:rFonts w:ascii="Arial" w:hAnsi="Arial" w:cs="Arial"/>
        </w:rPr>
      </w:pPr>
      <w:r w:rsidRPr="00A90957">
        <w:rPr>
          <w:rFonts w:ascii="Arial" w:hAnsi="Arial" w:cs="Arial"/>
        </w:rPr>
        <w:t>Where Pi is the importance value index of a species i; S the total number of species found; and N the number of individuals</w:t>
      </w:r>
    </w:p>
    <w:p w:rsidR="00687AAF" w:rsidRPr="00A90957" w:rsidRDefault="00687AAF" w:rsidP="00687AAF">
      <w:pPr>
        <w:pStyle w:val="Body"/>
        <w:rPr>
          <w:rFonts w:ascii="Arial" w:hAnsi="Arial" w:cs="Arial"/>
        </w:rPr>
      </w:pPr>
    </w:p>
    <w:p w:rsidR="00687AAF" w:rsidRPr="00A90957" w:rsidRDefault="00687AAF" w:rsidP="00687AAF">
      <w:pPr>
        <w:pStyle w:val="Body"/>
        <w:rPr>
          <w:rFonts w:ascii="Arial" w:hAnsi="Arial" w:cs="Arial"/>
          <w:b/>
          <w:sz w:val="22"/>
        </w:rPr>
      </w:pPr>
      <w:r w:rsidRPr="00A90957">
        <w:rPr>
          <w:rFonts w:ascii="Arial" w:hAnsi="Arial" w:cs="Arial"/>
          <w:b/>
          <w:sz w:val="22"/>
        </w:rPr>
        <w:t>2.4 MULTIVARIATE ANALYSIS</w:t>
      </w:r>
    </w:p>
    <w:p w:rsidR="00687AAF" w:rsidRPr="00A90957" w:rsidRDefault="00687AAF" w:rsidP="00687AAF">
      <w:pPr>
        <w:pStyle w:val="Body"/>
        <w:rPr>
          <w:rFonts w:ascii="Arial" w:hAnsi="Arial" w:cs="Arial"/>
        </w:rPr>
      </w:pPr>
      <w:r w:rsidRPr="00A90957">
        <w:rPr>
          <w:rFonts w:ascii="Arial" w:hAnsi="Arial" w:cs="Arial"/>
        </w:rPr>
        <w:t>Multivariate statistical techniques were applied to determine if there was a structure in the plant community data and whether variation in plant community structure could be explained by variation in limnological variables of the river. Differences in limnological variables and species richness between Stations and seasons were tested using one-way analysis of v</w:t>
      </w:r>
      <w:r w:rsidR="00343342">
        <w:rPr>
          <w:rFonts w:ascii="Arial" w:hAnsi="Arial" w:cs="Arial"/>
        </w:rPr>
        <w:t>ariance (ANOVA) and Tukey’spost-</w:t>
      </w:r>
      <w:r w:rsidRPr="00A90957">
        <w:rPr>
          <w:rFonts w:ascii="Arial" w:hAnsi="Arial" w:cs="Arial"/>
        </w:rPr>
        <w:t>hoc</w:t>
      </w:r>
      <w:r w:rsidR="00343342">
        <w:rPr>
          <w:rFonts w:ascii="Arial" w:hAnsi="Arial" w:cs="Arial"/>
        </w:rPr>
        <w:t xml:space="preserve"> </w:t>
      </w:r>
      <w:r w:rsidRPr="00A90957">
        <w:rPr>
          <w:rFonts w:ascii="Arial" w:hAnsi="Arial" w:cs="Arial"/>
        </w:rPr>
        <w:t>analysis. The analysis was performed using the statistical package SPSS version 19.</w:t>
      </w:r>
    </w:p>
    <w:p w:rsidR="00687AAF" w:rsidRPr="00A90957" w:rsidRDefault="00687AAF" w:rsidP="00687AAF">
      <w:pPr>
        <w:pStyle w:val="Body"/>
        <w:rPr>
          <w:rFonts w:ascii="Arial" w:hAnsi="Arial" w:cs="Arial"/>
        </w:rPr>
      </w:pPr>
      <w:r w:rsidRPr="00A90957">
        <w:rPr>
          <w:rFonts w:ascii="Arial" w:hAnsi="Arial" w:cs="Arial"/>
        </w:rPr>
        <w:t xml:space="preserve">Canonical correspondence analysis (CCA) was used to assess the influence of limnological variables on the composition and abundance of </w:t>
      </w:r>
      <w:r w:rsidR="00A90485">
        <w:rPr>
          <w:rFonts w:ascii="Arial" w:hAnsi="Arial" w:cs="Arial"/>
        </w:rPr>
        <w:t>macrophyte</w:t>
      </w:r>
      <w:r w:rsidRPr="00A90957">
        <w:rPr>
          <w:rFonts w:ascii="Arial" w:hAnsi="Arial" w:cs="Arial"/>
        </w:rPr>
        <w:t xml:space="preserve"> species. Stepwise selection in CCA provides an efficient way to eliminate limnological variables that did not significantly explain significant variation in the </w:t>
      </w:r>
      <w:r w:rsidR="00A90485">
        <w:rPr>
          <w:rFonts w:ascii="Arial" w:hAnsi="Arial" w:cs="Arial"/>
        </w:rPr>
        <w:t>macrophyte</w:t>
      </w:r>
      <w:r w:rsidRPr="00A90957">
        <w:rPr>
          <w:rFonts w:ascii="Arial" w:hAnsi="Arial" w:cs="Arial"/>
        </w:rPr>
        <w:t xml:space="preserve"> community structure</w:t>
      </w:r>
    </w:p>
    <w:p w:rsidR="00687AAF" w:rsidRDefault="00687AAF" w:rsidP="00687AAF">
      <w:pPr>
        <w:pStyle w:val="Body"/>
        <w:spacing w:after="0"/>
        <w:rPr>
          <w:rFonts w:ascii="Arial" w:hAnsi="Arial" w:cs="Arial"/>
        </w:rPr>
      </w:pPr>
      <w:r w:rsidRPr="00A90957">
        <w:rPr>
          <w:rFonts w:ascii="Arial" w:hAnsi="Arial" w:cs="Arial"/>
        </w:rPr>
        <w:t xml:space="preserve">Ecological indices provided a quantitative approach to depict patterns among </w:t>
      </w:r>
      <w:r w:rsidR="00A90485">
        <w:rPr>
          <w:rFonts w:ascii="Arial" w:hAnsi="Arial" w:cs="Arial"/>
        </w:rPr>
        <w:t>macrophyte</w:t>
      </w:r>
      <w:r w:rsidRPr="00A90957">
        <w:rPr>
          <w:rFonts w:ascii="Arial" w:hAnsi="Arial" w:cs="Arial"/>
        </w:rPr>
        <w:t xml:space="preserve"> distribution. In order to ensure comparability with existing literature and low redundancy, few </w:t>
      </w:r>
      <w:r w:rsidRPr="00A90957">
        <w:rPr>
          <w:rFonts w:ascii="Arial" w:hAnsi="Arial" w:cs="Arial"/>
        </w:rPr>
        <w:lastRenderedPageBreak/>
        <w:t>metrics were selected. Relative abundance. Importance Value index (IVI), Shannon Weiner index ,Margalef index, Pielou’s evenness index and Simpson’s evenness index using  Pal</w:t>
      </w:r>
      <w:r w:rsidR="00A013D8">
        <w:rPr>
          <w:rFonts w:ascii="Arial" w:hAnsi="Arial" w:cs="Arial"/>
        </w:rPr>
        <w:t>eontological  software (PAST 3).</w:t>
      </w:r>
    </w:p>
    <w:p w:rsidR="00A013D8" w:rsidRDefault="00A013D8" w:rsidP="00687AAF">
      <w:pPr>
        <w:pStyle w:val="Body"/>
        <w:spacing w:after="0"/>
        <w:rPr>
          <w:rFonts w:ascii="Arial" w:hAnsi="Arial" w:cs="Arial"/>
        </w:rPr>
      </w:pPr>
    </w:p>
    <w:p w:rsidR="00A013D8" w:rsidRDefault="00A013D8" w:rsidP="00687AAF">
      <w:pPr>
        <w:pStyle w:val="Body"/>
        <w:spacing w:after="0"/>
        <w:rPr>
          <w:rFonts w:ascii="Arial" w:hAnsi="Arial" w:cs="Arial"/>
        </w:rPr>
      </w:pPr>
    </w:p>
    <w:p w:rsidR="00687AAF" w:rsidRDefault="00687AAF" w:rsidP="00687AAF">
      <w:pPr>
        <w:pStyle w:val="Head1"/>
        <w:spacing w:after="0"/>
        <w:jc w:val="both"/>
        <w:rPr>
          <w:rFonts w:ascii="Arial" w:hAnsi="Arial" w:cs="Arial"/>
        </w:rPr>
      </w:pPr>
      <w:r>
        <w:rPr>
          <w:rFonts w:ascii="Arial" w:hAnsi="Arial" w:cs="Arial"/>
        </w:rPr>
        <w:t>3. results and discussion</w:t>
      </w:r>
    </w:p>
    <w:p w:rsidR="00677D4F" w:rsidRDefault="00677D4F" w:rsidP="00677D4F">
      <w:pPr>
        <w:pStyle w:val="Head1"/>
        <w:jc w:val="both"/>
        <w:rPr>
          <w:rFonts w:ascii="Arial" w:hAnsi="Arial" w:cs="Arial"/>
          <w:b w:val="0"/>
          <w:caps w:val="0"/>
          <w:sz w:val="20"/>
        </w:rPr>
      </w:pPr>
    </w:p>
    <w:p w:rsidR="00677D4F" w:rsidRPr="00677D4F" w:rsidRDefault="00677D4F" w:rsidP="00677D4F">
      <w:pPr>
        <w:pStyle w:val="Head1"/>
        <w:jc w:val="both"/>
        <w:rPr>
          <w:rFonts w:ascii="Arial" w:hAnsi="Arial" w:cs="Arial"/>
          <w:b w:val="0"/>
          <w:sz w:val="20"/>
        </w:rPr>
      </w:pPr>
      <w:r w:rsidRPr="00677D4F">
        <w:rPr>
          <w:rFonts w:ascii="Arial" w:hAnsi="Arial" w:cs="Arial"/>
          <w:b w:val="0"/>
          <w:caps w:val="0"/>
          <w:sz w:val="20"/>
        </w:rPr>
        <w:t xml:space="preserve">The </w:t>
      </w:r>
      <w:r w:rsidR="00A90485">
        <w:rPr>
          <w:rFonts w:ascii="Arial" w:hAnsi="Arial" w:cs="Arial"/>
          <w:b w:val="0"/>
          <w:caps w:val="0"/>
          <w:sz w:val="20"/>
        </w:rPr>
        <w:t>macrophyte</w:t>
      </w:r>
      <w:r w:rsidRPr="00677D4F">
        <w:rPr>
          <w:rFonts w:ascii="Arial" w:hAnsi="Arial" w:cs="Arial"/>
          <w:b w:val="0"/>
          <w:caps w:val="0"/>
          <w:sz w:val="20"/>
        </w:rPr>
        <w:t xml:space="preserve"> species composition and structure in freshwater ecosystems are often closely related to the </w:t>
      </w:r>
      <w:r w:rsidR="00343342">
        <w:rPr>
          <w:rFonts w:ascii="Arial" w:hAnsi="Arial" w:cs="Arial"/>
          <w:b w:val="0"/>
          <w:caps w:val="0"/>
          <w:sz w:val="20"/>
        </w:rPr>
        <w:t>ph</w:t>
      </w:r>
      <w:r w:rsidRPr="00677D4F">
        <w:rPr>
          <w:rFonts w:ascii="Arial" w:hAnsi="Arial" w:cs="Arial"/>
          <w:b w:val="0"/>
          <w:caps w:val="0"/>
          <w:sz w:val="20"/>
        </w:rPr>
        <w:t>ysicochemical properties of the water, which in turn affect the biological processes and ecological dynamics of aquatic systems</w:t>
      </w:r>
      <w:r w:rsidR="007140AE">
        <w:rPr>
          <w:rFonts w:ascii="Arial" w:hAnsi="Arial" w:cs="Arial"/>
          <w:b w:val="0"/>
          <w:caps w:val="0"/>
          <w:sz w:val="20"/>
          <w:vertAlign w:val="superscript"/>
        </w:rPr>
        <w:t>47</w:t>
      </w:r>
      <w:r w:rsidRPr="00677D4F">
        <w:rPr>
          <w:rFonts w:ascii="Arial" w:hAnsi="Arial" w:cs="Arial"/>
          <w:b w:val="0"/>
          <w:caps w:val="0"/>
          <w:sz w:val="20"/>
        </w:rPr>
        <w:t xml:space="preserve">. In the eniong river, located in itu, nigeria, the interaction between water quality variables and </w:t>
      </w:r>
      <w:r w:rsidR="00A90485">
        <w:rPr>
          <w:rFonts w:ascii="Arial" w:hAnsi="Arial" w:cs="Arial"/>
          <w:b w:val="0"/>
          <w:caps w:val="0"/>
          <w:sz w:val="20"/>
        </w:rPr>
        <w:t xml:space="preserve">Macrophytes </w:t>
      </w:r>
      <w:r w:rsidRPr="00677D4F">
        <w:rPr>
          <w:rFonts w:ascii="Arial" w:hAnsi="Arial" w:cs="Arial"/>
          <w:b w:val="0"/>
          <w:caps w:val="0"/>
          <w:sz w:val="20"/>
        </w:rPr>
        <w:t xml:space="preserve"> provides insights into the ecosystem's health and its response to anthropogenic influences and natural processes. The </w:t>
      </w:r>
      <w:r w:rsidR="00343342">
        <w:rPr>
          <w:rFonts w:ascii="Arial" w:hAnsi="Arial" w:cs="Arial"/>
          <w:b w:val="0"/>
          <w:caps w:val="0"/>
          <w:sz w:val="20"/>
        </w:rPr>
        <w:t>ph</w:t>
      </w:r>
      <w:r w:rsidRPr="00677D4F">
        <w:rPr>
          <w:rFonts w:ascii="Arial" w:hAnsi="Arial" w:cs="Arial"/>
          <w:b w:val="0"/>
          <w:caps w:val="0"/>
          <w:sz w:val="20"/>
        </w:rPr>
        <w:t xml:space="preserve">ysico-chemical properties measured in this study, including </w:t>
      </w:r>
      <w:r w:rsidR="00AE2082">
        <w:rPr>
          <w:rFonts w:ascii="Arial" w:hAnsi="Arial" w:cs="Arial"/>
          <w:b w:val="0"/>
          <w:caps w:val="0"/>
          <w:sz w:val="20"/>
        </w:rPr>
        <w:t>pH</w:t>
      </w:r>
      <w:r w:rsidRPr="00677D4F">
        <w:rPr>
          <w:rFonts w:ascii="Arial" w:hAnsi="Arial" w:cs="Arial"/>
          <w:b w:val="0"/>
          <w:caps w:val="0"/>
          <w:sz w:val="20"/>
        </w:rPr>
        <w:t xml:space="preserve">, temperature, conductivity, and nutrient concentrations, have a significant role in determining the presence, distribution, and diversity of </w:t>
      </w:r>
      <w:r w:rsidR="00A90485">
        <w:rPr>
          <w:rFonts w:ascii="Arial" w:hAnsi="Arial" w:cs="Arial"/>
          <w:b w:val="0"/>
          <w:caps w:val="0"/>
          <w:sz w:val="20"/>
        </w:rPr>
        <w:t>macrophyte</w:t>
      </w:r>
      <w:r w:rsidRPr="00677D4F">
        <w:rPr>
          <w:rFonts w:ascii="Arial" w:hAnsi="Arial" w:cs="Arial"/>
          <w:b w:val="0"/>
          <w:caps w:val="0"/>
          <w:sz w:val="20"/>
        </w:rPr>
        <w:t xml:space="preserve"> species.</w:t>
      </w:r>
    </w:p>
    <w:p w:rsidR="00687AAF" w:rsidRDefault="00677D4F" w:rsidP="00677D4F">
      <w:pPr>
        <w:pStyle w:val="Head1"/>
        <w:spacing w:after="0"/>
        <w:jc w:val="both"/>
        <w:rPr>
          <w:rFonts w:ascii="Arial" w:hAnsi="Arial" w:cs="Arial"/>
        </w:rPr>
      </w:pPr>
      <w:r w:rsidRPr="00677D4F">
        <w:rPr>
          <w:rFonts w:ascii="Arial" w:hAnsi="Arial" w:cs="Arial"/>
          <w:b w:val="0"/>
          <w:caps w:val="0"/>
          <w:sz w:val="20"/>
        </w:rPr>
        <w:t xml:space="preserve">The </w:t>
      </w:r>
      <w:r w:rsidR="00AE2082">
        <w:rPr>
          <w:rFonts w:ascii="Arial" w:hAnsi="Arial" w:cs="Arial"/>
          <w:b w:val="0"/>
          <w:caps w:val="0"/>
          <w:sz w:val="20"/>
        </w:rPr>
        <w:t>pH</w:t>
      </w:r>
      <w:r w:rsidRPr="00677D4F">
        <w:rPr>
          <w:rFonts w:ascii="Arial" w:hAnsi="Arial" w:cs="Arial"/>
          <w:b w:val="0"/>
          <w:caps w:val="0"/>
          <w:sz w:val="20"/>
        </w:rPr>
        <w:t xml:space="preserve"> values across the stations ranged from 6.15 to 6.71, indicating slightly acidic conditions in the humic waters of the eniong river. Station 1, considered the control, had the lowest </w:t>
      </w:r>
      <w:r w:rsidR="00AE2082">
        <w:rPr>
          <w:rFonts w:ascii="Arial" w:hAnsi="Arial" w:cs="Arial"/>
          <w:b w:val="0"/>
          <w:caps w:val="0"/>
          <w:sz w:val="20"/>
        </w:rPr>
        <w:t>pH</w:t>
      </w:r>
      <w:r w:rsidRPr="00677D4F">
        <w:rPr>
          <w:rFonts w:ascii="Arial" w:hAnsi="Arial" w:cs="Arial"/>
          <w:b w:val="0"/>
          <w:caps w:val="0"/>
          <w:sz w:val="20"/>
        </w:rPr>
        <w:t xml:space="preserve"> value (6.15), while station 4 exhibited the highest (6.71). The observed </w:t>
      </w:r>
      <w:r w:rsidR="00AE2082">
        <w:rPr>
          <w:rFonts w:ascii="Arial" w:hAnsi="Arial" w:cs="Arial"/>
          <w:b w:val="0"/>
          <w:caps w:val="0"/>
          <w:sz w:val="20"/>
        </w:rPr>
        <w:t>pH</w:t>
      </w:r>
      <w:r w:rsidRPr="00677D4F">
        <w:rPr>
          <w:rFonts w:ascii="Arial" w:hAnsi="Arial" w:cs="Arial"/>
          <w:b w:val="0"/>
          <w:caps w:val="0"/>
          <w:sz w:val="20"/>
        </w:rPr>
        <w:t xml:space="preserve"> levels are below the </w:t>
      </w:r>
      <w:r w:rsidR="00066C79" w:rsidRPr="00677D4F">
        <w:rPr>
          <w:rFonts w:ascii="Arial" w:hAnsi="Arial" w:cs="Arial"/>
          <w:b w:val="0"/>
          <w:caps w:val="0"/>
          <w:sz w:val="20"/>
        </w:rPr>
        <w:t xml:space="preserve">WHO </w:t>
      </w:r>
      <w:r w:rsidRPr="00677D4F">
        <w:rPr>
          <w:rFonts w:ascii="Arial" w:hAnsi="Arial" w:cs="Arial"/>
          <w:b w:val="0"/>
          <w:caps w:val="0"/>
          <w:sz w:val="20"/>
        </w:rPr>
        <w:t xml:space="preserve">(2011) and nesrea standards of 6.5 to 8.5, which may affect species composition as certain </w:t>
      </w:r>
      <w:r w:rsidR="00A90485">
        <w:rPr>
          <w:rFonts w:ascii="Arial" w:hAnsi="Arial" w:cs="Arial"/>
          <w:b w:val="0"/>
          <w:caps w:val="0"/>
          <w:sz w:val="20"/>
        </w:rPr>
        <w:t xml:space="preserve">Macrophytes </w:t>
      </w:r>
      <w:r w:rsidRPr="00677D4F">
        <w:rPr>
          <w:rFonts w:ascii="Arial" w:hAnsi="Arial" w:cs="Arial"/>
          <w:b w:val="0"/>
          <w:caps w:val="0"/>
          <w:sz w:val="20"/>
        </w:rPr>
        <w:t xml:space="preserve"> thrive in neutral to slightly alkaline waters</w:t>
      </w:r>
      <w:r w:rsidR="00DD06B6">
        <w:rPr>
          <w:rFonts w:ascii="Arial" w:hAnsi="Arial" w:cs="Arial"/>
          <w:b w:val="0"/>
          <w:caps w:val="0"/>
          <w:sz w:val="20"/>
          <w:vertAlign w:val="superscript"/>
        </w:rPr>
        <w:t>4</w:t>
      </w:r>
      <w:r w:rsidR="00066C79">
        <w:rPr>
          <w:rFonts w:ascii="Arial" w:hAnsi="Arial" w:cs="Arial"/>
          <w:b w:val="0"/>
          <w:caps w:val="0"/>
          <w:sz w:val="20"/>
          <w:vertAlign w:val="superscript"/>
        </w:rPr>
        <w:t>9</w:t>
      </w:r>
      <w:r w:rsidRPr="00677D4F">
        <w:rPr>
          <w:rFonts w:ascii="Arial" w:hAnsi="Arial" w:cs="Arial"/>
          <w:b w:val="0"/>
          <w:caps w:val="0"/>
          <w:sz w:val="20"/>
        </w:rPr>
        <w:t xml:space="preserve">. </w:t>
      </w:r>
      <w:r w:rsidR="00A90485">
        <w:rPr>
          <w:rFonts w:ascii="Arial" w:hAnsi="Arial" w:cs="Arial"/>
          <w:b w:val="0"/>
          <w:caps w:val="0"/>
          <w:sz w:val="20"/>
        </w:rPr>
        <w:t xml:space="preserve">Macrophytes </w:t>
      </w:r>
      <w:r w:rsidRPr="00677D4F">
        <w:rPr>
          <w:rFonts w:ascii="Arial" w:hAnsi="Arial" w:cs="Arial"/>
          <w:b w:val="0"/>
          <w:caps w:val="0"/>
          <w:sz w:val="20"/>
        </w:rPr>
        <w:t xml:space="preserve"> like </w:t>
      </w:r>
      <w:r w:rsidR="00F15580" w:rsidRPr="00824B5E">
        <w:rPr>
          <w:rFonts w:ascii="Arial" w:hAnsi="Arial" w:cs="Arial"/>
          <w:b w:val="0"/>
          <w:i/>
          <w:caps w:val="0"/>
          <w:sz w:val="20"/>
          <w:highlight w:val="yellow"/>
        </w:rPr>
        <w:t xml:space="preserve">Ludwigia </w:t>
      </w:r>
      <w:r w:rsidR="00343342" w:rsidRPr="00824B5E">
        <w:rPr>
          <w:rFonts w:ascii="Arial" w:hAnsi="Arial" w:cs="Arial"/>
          <w:b w:val="0"/>
          <w:i/>
          <w:caps w:val="0"/>
          <w:sz w:val="20"/>
          <w:highlight w:val="yellow"/>
        </w:rPr>
        <w:t>palustris</w:t>
      </w:r>
      <w:r w:rsidR="00343342" w:rsidRPr="00677D4F">
        <w:rPr>
          <w:rFonts w:ascii="Arial" w:hAnsi="Arial" w:cs="Arial"/>
          <w:b w:val="0"/>
          <w:caps w:val="0"/>
          <w:sz w:val="20"/>
        </w:rPr>
        <w:t xml:space="preserve"> </w:t>
      </w:r>
      <w:r w:rsidRPr="00677D4F">
        <w:rPr>
          <w:rFonts w:ascii="Arial" w:hAnsi="Arial" w:cs="Arial"/>
          <w:b w:val="0"/>
          <w:caps w:val="0"/>
          <w:sz w:val="20"/>
        </w:rPr>
        <w:t xml:space="preserve">and </w:t>
      </w:r>
      <w:r w:rsidR="00C366B2" w:rsidRPr="00C366B2">
        <w:rPr>
          <w:rFonts w:ascii="Arial" w:hAnsi="Arial" w:cs="Arial"/>
          <w:b w:val="0"/>
          <w:i/>
          <w:caps w:val="0"/>
          <w:sz w:val="20"/>
          <w:highlight w:val="yellow"/>
        </w:rPr>
        <w:t>Ceratophyllum</w:t>
      </w:r>
      <w:r w:rsidR="00C366B2" w:rsidRPr="00677D4F">
        <w:rPr>
          <w:rFonts w:ascii="Arial" w:hAnsi="Arial" w:cs="Arial"/>
          <w:b w:val="0"/>
          <w:caps w:val="0"/>
          <w:sz w:val="20"/>
        </w:rPr>
        <w:t xml:space="preserve"> </w:t>
      </w:r>
      <w:r w:rsidRPr="00677D4F">
        <w:rPr>
          <w:rFonts w:ascii="Arial" w:hAnsi="Arial" w:cs="Arial"/>
          <w:b w:val="0"/>
          <w:caps w:val="0"/>
          <w:sz w:val="20"/>
        </w:rPr>
        <w:t>have been reported to tolerate mildly acidic environments, which may explain their presence in the river</w:t>
      </w:r>
      <w:r w:rsidR="00E73D87">
        <w:rPr>
          <w:rFonts w:ascii="Arial" w:hAnsi="Arial" w:cs="Arial"/>
          <w:b w:val="0"/>
          <w:caps w:val="0"/>
          <w:sz w:val="20"/>
          <w:vertAlign w:val="superscript"/>
        </w:rPr>
        <w:t>15</w:t>
      </w:r>
      <w:r w:rsidRPr="00677D4F">
        <w:rPr>
          <w:rFonts w:ascii="Arial" w:hAnsi="Arial" w:cs="Arial"/>
          <w:b w:val="0"/>
          <w:caps w:val="0"/>
          <w:sz w:val="20"/>
        </w:rPr>
        <w:t>. The slightly acidic nature of the water is characteristic of humic freshwater ecosystems, where dissolved organic matter from decaying vegetation contributes to acidity</w:t>
      </w:r>
      <w:r w:rsidR="00DD06B6">
        <w:rPr>
          <w:rFonts w:ascii="Arial" w:hAnsi="Arial" w:cs="Arial"/>
          <w:b w:val="0"/>
          <w:caps w:val="0"/>
          <w:sz w:val="20"/>
          <w:vertAlign w:val="superscript"/>
        </w:rPr>
        <w:t>21</w:t>
      </w:r>
      <w:r w:rsidRPr="00677D4F">
        <w:rPr>
          <w:rFonts w:ascii="Arial" w:hAnsi="Arial" w:cs="Arial"/>
          <w:b w:val="0"/>
          <w:caps w:val="0"/>
          <w:sz w:val="20"/>
        </w:rPr>
        <w:t>.</w:t>
      </w:r>
    </w:p>
    <w:p w:rsidR="00677D4F" w:rsidRDefault="00677D4F" w:rsidP="00687AAF">
      <w:pPr>
        <w:pStyle w:val="Head1"/>
        <w:spacing w:after="0"/>
        <w:jc w:val="both"/>
        <w:rPr>
          <w:rFonts w:ascii="Arial" w:hAnsi="Arial" w:cs="Arial"/>
        </w:rPr>
      </w:pPr>
    </w:p>
    <w:p w:rsidR="00677D4F" w:rsidRDefault="00677D4F" w:rsidP="00687AAF">
      <w:pPr>
        <w:pStyle w:val="Head1"/>
        <w:spacing w:after="0"/>
        <w:jc w:val="both"/>
        <w:rPr>
          <w:rFonts w:ascii="Arial" w:hAnsi="Arial" w:cs="Arial"/>
        </w:rPr>
      </w:pPr>
    </w:p>
    <w:p w:rsidR="00687AAF" w:rsidRDefault="00687AAF" w:rsidP="00687AAF">
      <w:pPr>
        <w:jc w:val="both"/>
        <w:rPr>
          <w:rFonts w:ascii="Arial" w:hAnsi="Arial" w:cs="Arial"/>
          <w:lang w:val="en-GB" w:eastAsia="en-GB"/>
        </w:rPr>
        <w:sectPr w:rsidR="00687AAF" w:rsidSect="00275BB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687AAF" w:rsidRPr="00136570" w:rsidRDefault="00687AAF" w:rsidP="00687AAF">
      <w:pPr>
        <w:tabs>
          <w:tab w:val="left" w:pos="11160"/>
        </w:tabs>
        <w:spacing w:line="480" w:lineRule="auto"/>
        <w:ind w:right="-1179"/>
        <w:rPr>
          <w:rFonts w:ascii="Arial" w:hAnsi="Arial" w:cs="Arial"/>
          <w:b/>
        </w:rPr>
      </w:pPr>
      <w:r w:rsidRPr="00136570">
        <w:rPr>
          <w:rFonts w:ascii="Arial" w:hAnsi="Arial" w:cs="Arial"/>
          <w:b/>
        </w:rPr>
        <w:lastRenderedPageBreak/>
        <w:t xml:space="preserve">Table 1. Mean and standard error values of Surface water </w:t>
      </w:r>
      <w:r w:rsidR="001D7DAE">
        <w:rPr>
          <w:rFonts w:ascii="Arial" w:hAnsi="Arial" w:cs="Arial"/>
          <w:b/>
        </w:rPr>
        <w:t>ph</w:t>
      </w:r>
      <w:r w:rsidRPr="00136570">
        <w:rPr>
          <w:rFonts w:ascii="Arial" w:hAnsi="Arial" w:cs="Arial"/>
          <w:b/>
        </w:rPr>
        <w:t>ysicochemical parameters for four Stations</w:t>
      </w:r>
      <w:r w:rsidRPr="00136570">
        <w:rPr>
          <w:rFonts w:ascii="Arial" w:hAnsi="Arial" w:cs="Arial"/>
          <w:b/>
        </w:rPr>
        <w:tab/>
      </w:r>
    </w:p>
    <w:tbl>
      <w:tblPr>
        <w:tblStyle w:val="TableGrid"/>
        <w:tblW w:w="5069"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3653"/>
        <w:gridCol w:w="1732"/>
        <w:gridCol w:w="1656"/>
        <w:gridCol w:w="1551"/>
        <w:gridCol w:w="1607"/>
        <w:gridCol w:w="1359"/>
        <w:gridCol w:w="1106"/>
        <w:gridCol w:w="110"/>
      </w:tblGrid>
      <w:tr w:rsidR="00687AAF" w:rsidRPr="00136570" w:rsidTr="001D7DAE">
        <w:trPr>
          <w:gridAfter w:val="1"/>
          <w:wAfter w:w="44" w:type="pct"/>
        </w:trPr>
        <w:tc>
          <w:tcPr>
            <w:tcW w:w="1430" w:type="pct"/>
            <w:tcBorders>
              <w:top w:val="single" w:sz="4" w:space="0" w:color="000000" w:themeColor="text1"/>
              <w:left w:val="nil"/>
              <w:bottom w:val="single" w:sz="4" w:space="0" w:color="000000" w:themeColor="text1"/>
              <w:right w:val="nil"/>
            </w:tcBorders>
            <w:vAlign w:val="bottom"/>
            <w:hideMark/>
          </w:tcPr>
          <w:p w:rsidR="00687AAF" w:rsidRPr="00136570" w:rsidRDefault="00687AAF" w:rsidP="00A72992">
            <w:pPr>
              <w:ind w:left="-958"/>
              <w:jc w:val="center"/>
              <w:rPr>
                <w:rFonts w:ascii="Arial" w:hAnsi="Arial" w:cs="Arial"/>
                <w:b/>
              </w:rPr>
            </w:pPr>
            <w:r w:rsidRPr="00136570">
              <w:rPr>
                <w:rFonts w:ascii="Arial" w:hAnsi="Arial" w:cs="Arial"/>
                <w:b/>
              </w:rPr>
              <w:t>Water Parameter</w:t>
            </w:r>
          </w:p>
        </w:tc>
        <w:tc>
          <w:tcPr>
            <w:tcW w:w="678" w:type="pct"/>
            <w:tcBorders>
              <w:top w:val="single" w:sz="4" w:space="0" w:color="000000" w:themeColor="text1"/>
              <w:left w:val="nil"/>
              <w:bottom w:val="single" w:sz="4" w:space="0" w:color="000000" w:themeColor="text1"/>
              <w:right w:val="nil"/>
            </w:tcBorders>
            <w:vAlign w:val="bottom"/>
            <w:hideMark/>
          </w:tcPr>
          <w:p w:rsidR="00687AAF" w:rsidRPr="00136570" w:rsidRDefault="00687AAF" w:rsidP="00A72992">
            <w:pPr>
              <w:jc w:val="center"/>
              <w:rPr>
                <w:rFonts w:ascii="Arial" w:hAnsi="Arial" w:cs="Arial"/>
                <w:b/>
              </w:rPr>
            </w:pPr>
            <w:r w:rsidRPr="00136570">
              <w:rPr>
                <w:rFonts w:ascii="Arial" w:hAnsi="Arial" w:cs="Arial"/>
                <w:b/>
              </w:rPr>
              <w:t>Station 1(control)</w:t>
            </w:r>
          </w:p>
        </w:tc>
        <w:tc>
          <w:tcPr>
            <w:tcW w:w="648" w:type="pct"/>
            <w:tcBorders>
              <w:top w:val="single" w:sz="4" w:space="0" w:color="000000" w:themeColor="text1"/>
              <w:left w:val="nil"/>
              <w:bottom w:val="single" w:sz="4" w:space="0" w:color="auto"/>
              <w:right w:val="nil"/>
            </w:tcBorders>
            <w:vAlign w:val="bottom"/>
            <w:hideMark/>
          </w:tcPr>
          <w:p w:rsidR="00687AAF" w:rsidRPr="00136570" w:rsidRDefault="00687AAF" w:rsidP="00A72992">
            <w:pPr>
              <w:jc w:val="center"/>
              <w:rPr>
                <w:rFonts w:ascii="Arial" w:hAnsi="Arial" w:cs="Arial"/>
                <w:b/>
              </w:rPr>
            </w:pPr>
            <w:r w:rsidRPr="00136570">
              <w:rPr>
                <w:rFonts w:ascii="Arial" w:hAnsi="Arial" w:cs="Arial"/>
                <w:b/>
              </w:rPr>
              <w:t>Station 2</w:t>
            </w:r>
          </w:p>
        </w:tc>
        <w:tc>
          <w:tcPr>
            <w:tcW w:w="607" w:type="pct"/>
            <w:tcBorders>
              <w:top w:val="single" w:sz="4" w:space="0" w:color="auto"/>
              <w:left w:val="nil"/>
              <w:bottom w:val="single" w:sz="4" w:space="0" w:color="auto"/>
              <w:right w:val="nil"/>
            </w:tcBorders>
            <w:vAlign w:val="bottom"/>
            <w:hideMark/>
          </w:tcPr>
          <w:p w:rsidR="00687AAF" w:rsidRPr="00136570" w:rsidRDefault="00687AAF" w:rsidP="00A72992">
            <w:pPr>
              <w:jc w:val="center"/>
              <w:rPr>
                <w:rFonts w:ascii="Arial" w:hAnsi="Arial" w:cs="Arial"/>
                <w:b/>
              </w:rPr>
            </w:pPr>
            <w:r w:rsidRPr="00136570">
              <w:rPr>
                <w:rFonts w:ascii="Arial" w:hAnsi="Arial" w:cs="Arial"/>
                <w:b/>
              </w:rPr>
              <w:t>Station 3</w:t>
            </w:r>
          </w:p>
        </w:tc>
        <w:tc>
          <w:tcPr>
            <w:tcW w:w="629" w:type="pct"/>
            <w:tcBorders>
              <w:top w:val="single" w:sz="4" w:space="0" w:color="auto"/>
              <w:left w:val="nil"/>
              <w:bottom w:val="single" w:sz="4" w:space="0" w:color="auto"/>
              <w:right w:val="nil"/>
            </w:tcBorders>
            <w:vAlign w:val="bottom"/>
            <w:hideMark/>
          </w:tcPr>
          <w:p w:rsidR="00687AAF" w:rsidRPr="00136570" w:rsidRDefault="00687AAF" w:rsidP="00A72992">
            <w:pPr>
              <w:jc w:val="center"/>
              <w:rPr>
                <w:rFonts w:ascii="Arial" w:hAnsi="Arial" w:cs="Arial"/>
                <w:b/>
              </w:rPr>
            </w:pPr>
            <w:r w:rsidRPr="00136570">
              <w:rPr>
                <w:rFonts w:ascii="Arial" w:hAnsi="Arial" w:cs="Arial"/>
                <w:b/>
              </w:rPr>
              <w:t>Station 4</w:t>
            </w:r>
          </w:p>
        </w:tc>
        <w:tc>
          <w:tcPr>
            <w:tcW w:w="532" w:type="pct"/>
            <w:tcBorders>
              <w:top w:val="single" w:sz="4" w:space="0" w:color="auto"/>
              <w:left w:val="nil"/>
              <w:bottom w:val="single" w:sz="4" w:space="0" w:color="auto"/>
              <w:right w:val="nil"/>
            </w:tcBorders>
            <w:hideMark/>
          </w:tcPr>
          <w:p w:rsidR="00687AAF" w:rsidRPr="00136570" w:rsidRDefault="00687AAF" w:rsidP="00A72992">
            <w:pPr>
              <w:jc w:val="both"/>
              <w:rPr>
                <w:rFonts w:ascii="Arial" w:hAnsi="Arial" w:cs="Arial"/>
                <w:b/>
              </w:rPr>
            </w:pPr>
            <w:r w:rsidRPr="00136570">
              <w:rPr>
                <w:rFonts w:ascii="Arial" w:hAnsi="Arial" w:cs="Arial"/>
                <w:b/>
              </w:rPr>
              <w:t>WHO limits(2011)</w:t>
            </w:r>
          </w:p>
        </w:tc>
        <w:tc>
          <w:tcPr>
            <w:tcW w:w="433" w:type="pct"/>
            <w:tcBorders>
              <w:top w:val="single" w:sz="4" w:space="0" w:color="auto"/>
              <w:left w:val="nil"/>
              <w:bottom w:val="single" w:sz="4" w:space="0" w:color="auto"/>
              <w:right w:val="nil"/>
            </w:tcBorders>
            <w:hideMark/>
          </w:tcPr>
          <w:p w:rsidR="00687AAF" w:rsidRPr="00136570" w:rsidRDefault="00687AAF" w:rsidP="00A72992">
            <w:pPr>
              <w:jc w:val="center"/>
              <w:rPr>
                <w:rFonts w:ascii="Arial" w:hAnsi="Arial" w:cs="Arial"/>
                <w:b/>
              </w:rPr>
            </w:pPr>
            <w:r w:rsidRPr="00136570">
              <w:rPr>
                <w:rFonts w:ascii="Arial" w:hAnsi="Arial" w:cs="Arial"/>
                <w:b/>
              </w:rPr>
              <w:t>NESREA limits</w:t>
            </w:r>
          </w:p>
        </w:tc>
      </w:tr>
      <w:tr w:rsidR="00687AAF" w:rsidRPr="00136570" w:rsidTr="001D7DAE">
        <w:tc>
          <w:tcPr>
            <w:tcW w:w="1430" w:type="pct"/>
            <w:tcBorders>
              <w:top w:val="single" w:sz="4" w:space="0" w:color="000000" w:themeColor="text1"/>
              <w:left w:val="nil"/>
              <w:bottom w:val="nil"/>
              <w:right w:val="nil"/>
            </w:tcBorders>
            <w:vAlign w:val="bottom"/>
            <w:hideMark/>
          </w:tcPr>
          <w:p w:rsidR="00687AAF" w:rsidRPr="00FC4C53" w:rsidRDefault="00AE2082" w:rsidP="00A72992">
            <w:pPr>
              <w:pStyle w:val="TableParagraph"/>
              <w:ind w:left="601"/>
              <w:rPr>
                <w:rFonts w:ascii="Arial" w:hAnsi="Arial" w:cs="Arial"/>
                <w:sz w:val="20"/>
                <w:szCs w:val="20"/>
              </w:rPr>
            </w:pPr>
            <w:r w:rsidRPr="00C366B2">
              <w:rPr>
                <w:rFonts w:ascii="Arial" w:hAnsi="Arial" w:cs="Arial"/>
                <w:spacing w:val="-5"/>
                <w:sz w:val="20"/>
                <w:szCs w:val="20"/>
                <w:highlight w:val="yellow"/>
              </w:rPr>
              <w:t>pH</w:t>
            </w:r>
          </w:p>
        </w:tc>
        <w:tc>
          <w:tcPr>
            <w:tcW w:w="678" w:type="pct"/>
            <w:tcBorders>
              <w:top w:val="single" w:sz="4" w:space="0" w:color="000000" w:themeColor="text1"/>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rPr>
              <w:t>6.150±0.</w:t>
            </w:r>
            <w:r w:rsidRPr="00136570">
              <w:rPr>
                <w:rFonts w:ascii="Arial" w:hAnsi="Arial" w:cs="Arial"/>
                <w:color w:val="010205"/>
              </w:rPr>
              <w:t>050</w:t>
            </w:r>
          </w:p>
        </w:tc>
        <w:tc>
          <w:tcPr>
            <w:tcW w:w="648" w:type="pct"/>
            <w:tcBorders>
              <w:top w:val="single" w:sz="4" w:space="0" w:color="auto"/>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6.460</w:t>
            </w:r>
            <w:r w:rsidRPr="00136570">
              <w:rPr>
                <w:rFonts w:ascii="Arial" w:hAnsi="Arial" w:cs="Arial"/>
              </w:rPr>
              <w:t>±0.</w:t>
            </w:r>
            <w:r w:rsidRPr="00136570">
              <w:rPr>
                <w:rFonts w:ascii="Arial" w:hAnsi="Arial" w:cs="Arial"/>
                <w:color w:val="010205"/>
              </w:rPr>
              <w:t>390</w:t>
            </w:r>
          </w:p>
        </w:tc>
        <w:tc>
          <w:tcPr>
            <w:tcW w:w="607" w:type="pct"/>
            <w:tcBorders>
              <w:top w:val="single" w:sz="4" w:space="0" w:color="auto"/>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6.435</w:t>
            </w:r>
            <w:r w:rsidRPr="00136570">
              <w:rPr>
                <w:rFonts w:ascii="Arial" w:hAnsi="Arial" w:cs="Arial"/>
              </w:rPr>
              <w:t>±</w:t>
            </w:r>
            <w:r w:rsidRPr="00136570">
              <w:rPr>
                <w:rFonts w:ascii="Arial" w:hAnsi="Arial" w:cs="Arial"/>
                <w:color w:val="010205"/>
              </w:rPr>
              <w:t>0.365</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6.715</w:t>
            </w:r>
            <w:r w:rsidRPr="00136570">
              <w:rPr>
                <w:rFonts w:ascii="Arial" w:hAnsi="Arial" w:cs="Arial"/>
              </w:rPr>
              <w:t>±0.</w:t>
            </w:r>
            <w:r w:rsidRPr="00136570">
              <w:rPr>
                <w:rFonts w:ascii="Arial" w:hAnsi="Arial" w:cs="Arial"/>
                <w:color w:val="010205"/>
              </w:rPr>
              <w:t>225</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6.5–8.5</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6.5–8.5</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spacing w:before="2"/>
              <w:ind w:left="601"/>
              <w:rPr>
                <w:rFonts w:ascii="Arial" w:hAnsi="Arial" w:cs="Arial"/>
                <w:sz w:val="20"/>
                <w:szCs w:val="20"/>
              </w:rPr>
            </w:pPr>
            <w:r w:rsidRPr="00FC4C53">
              <w:rPr>
                <w:rFonts w:ascii="Arial" w:hAnsi="Arial" w:cs="Arial"/>
                <w:sz w:val="20"/>
                <w:szCs w:val="20"/>
              </w:rPr>
              <w:t xml:space="preserve">Temperature </w:t>
            </w:r>
            <w:r w:rsidRPr="00FC4C53">
              <w:rPr>
                <w:rFonts w:ascii="Arial" w:hAnsi="Arial" w:cs="Arial"/>
                <w:spacing w:val="-4"/>
                <w:sz w:val="20"/>
                <w:szCs w:val="20"/>
              </w:rPr>
              <w:t>(</w:t>
            </w:r>
            <w:r w:rsidRPr="00FC4C53">
              <w:rPr>
                <w:rFonts w:ascii="Arial" w:hAnsi="Arial" w:cs="Arial"/>
                <w:spacing w:val="-4"/>
                <w:sz w:val="20"/>
                <w:szCs w:val="20"/>
                <w:vertAlign w:val="superscript"/>
              </w:rPr>
              <w:t>o</w:t>
            </w:r>
            <w:r w:rsidRPr="00FC4C53">
              <w:rPr>
                <w:rFonts w:ascii="Arial" w:hAnsi="Arial" w:cs="Arial"/>
                <w:spacing w:val="-4"/>
                <w:sz w:val="20"/>
                <w:szCs w:val="20"/>
              </w:rPr>
              <w:t>C)</w:t>
            </w:r>
          </w:p>
        </w:tc>
        <w:tc>
          <w:tcPr>
            <w:tcW w:w="67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26.250</w:t>
            </w:r>
            <w:r w:rsidRPr="00136570">
              <w:rPr>
                <w:rFonts w:ascii="Arial" w:hAnsi="Arial" w:cs="Arial"/>
              </w:rPr>
              <w:t>±</w:t>
            </w:r>
            <w:r w:rsidRPr="00136570">
              <w:rPr>
                <w:rFonts w:ascii="Arial" w:hAnsi="Arial" w:cs="Arial"/>
                <w:color w:val="010205"/>
              </w:rPr>
              <w:t>1.750</w:t>
            </w:r>
          </w:p>
        </w:tc>
        <w:tc>
          <w:tcPr>
            <w:tcW w:w="64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26.050</w:t>
            </w:r>
            <w:r w:rsidRPr="00136570">
              <w:rPr>
                <w:rFonts w:ascii="Arial" w:hAnsi="Arial" w:cs="Arial"/>
              </w:rPr>
              <w:t>±</w:t>
            </w:r>
            <w:r w:rsidRPr="00136570">
              <w:rPr>
                <w:rFonts w:ascii="Arial" w:hAnsi="Arial" w:cs="Arial"/>
                <w:color w:val="010205"/>
              </w:rPr>
              <w:t>1.950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26.050</w:t>
            </w:r>
            <w:r w:rsidRPr="00136570">
              <w:rPr>
                <w:rFonts w:ascii="Arial" w:hAnsi="Arial" w:cs="Arial"/>
              </w:rPr>
              <w:t>±</w:t>
            </w:r>
            <w:r w:rsidRPr="00136570">
              <w:rPr>
                <w:rFonts w:ascii="Arial" w:hAnsi="Arial" w:cs="Arial"/>
                <w:color w:val="010205"/>
              </w:rPr>
              <w:t>2.050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26.250</w:t>
            </w:r>
            <w:r w:rsidRPr="00136570">
              <w:rPr>
                <w:rFonts w:ascii="Arial" w:hAnsi="Arial" w:cs="Arial"/>
              </w:rPr>
              <w:t>±</w:t>
            </w:r>
            <w:r w:rsidRPr="00136570">
              <w:rPr>
                <w:rFonts w:ascii="Arial" w:hAnsi="Arial" w:cs="Arial"/>
                <w:color w:val="010205"/>
              </w:rPr>
              <w:t>2.150</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≤30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≤30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Conductivity </w:t>
            </w:r>
            <w:r w:rsidRPr="00FC4C53">
              <w:rPr>
                <w:rFonts w:ascii="Arial" w:hAnsi="Arial" w:cs="Arial"/>
                <w:spacing w:val="-2"/>
                <w:sz w:val="20"/>
                <w:szCs w:val="20"/>
              </w:rPr>
              <w:t>(mS/cm)</w:t>
            </w:r>
          </w:p>
        </w:tc>
        <w:tc>
          <w:tcPr>
            <w:tcW w:w="67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34.50</w:t>
            </w:r>
            <w:r w:rsidRPr="00136570">
              <w:rPr>
                <w:rFonts w:ascii="Arial" w:hAnsi="Arial" w:cs="Arial"/>
              </w:rPr>
              <w:t>±</w:t>
            </w:r>
            <w:r w:rsidRPr="00136570">
              <w:rPr>
                <w:rFonts w:ascii="Arial" w:hAnsi="Arial" w:cs="Arial"/>
                <w:color w:val="010205"/>
              </w:rPr>
              <w:t>2.500</w:t>
            </w:r>
          </w:p>
        </w:tc>
        <w:tc>
          <w:tcPr>
            <w:tcW w:w="64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34.50</w:t>
            </w:r>
            <w:r w:rsidRPr="00136570">
              <w:rPr>
                <w:rFonts w:ascii="Arial" w:hAnsi="Arial" w:cs="Arial"/>
              </w:rPr>
              <w:t>±</w:t>
            </w:r>
            <w:r w:rsidRPr="00136570">
              <w:rPr>
                <w:rFonts w:ascii="Arial" w:hAnsi="Arial" w:cs="Arial"/>
                <w:color w:val="010205"/>
              </w:rPr>
              <w:t>7.500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35.00</w:t>
            </w:r>
            <w:r w:rsidRPr="00136570">
              <w:rPr>
                <w:rFonts w:ascii="Arial" w:hAnsi="Arial" w:cs="Arial"/>
              </w:rPr>
              <w:t>±</w:t>
            </w:r>
            <w:r w:rsidRPr="00136570">
              <w:rPr>
                <w:rFonts w:ascii="Arial" w:hAnsi="Arial" w:cs="Arial"/>
                <w:color w:val="010205"/>
              </w:rPr>
              <w:t>4.00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35.50</w:t>
            </w:r>
            <w:r w:rsidRPr="00136570">
              <w:rPr>
                <w:rFonts w:ascii="Arial" w:hAnsi="Arial" w:cs="Arial"/>
              </w:rPr>
              <w:t>±</w:t>
            </w:r>
            <w:r w:rsidRPr="00136570">
              <w:rPr>
                <w:rFonts w:ascii="Arial" w:hAnsi="Arial" w:cs="Arial"/>
                <w:color w:val="010205"/>
              </w:rPr>
              <w:t>2.500</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 xml:space="preserve">1000 µS/cm </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≤250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Total Dissolved Solids </w:t>
            </w:r>
            <w:r w:rsidRPr="00FC4C53">
              <w:rPr>
                <w:rFonts w:ascii="Arial" w:hAnsi="Arial" w:cs="Arial"/>
                <w:spacing w:val="-2"/>
                <w:sz w:val="20"/>
                <w:szCs w:val="20"/>
              </w:rPr>
              <w:t>(ppt)</w:t>
            </w:r>
          </w:p>
        </w:tc>
        <w:tc>
          <w:tcPr>
            <w:tcW w:w="67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 xml:space="preserve">17.50 </w:t>
            </w:r>
            <w:r w:rsidRPr="00136570">
              <w:rPr>
                <w:rFonts w:ascii="Arial" w:hAnsi="Arial" w:cs="Arial"/>
              </w:rPr>
              <w:t>±</w:t>
            </w:r>
            <w:r w:rsidRPr="00136570">
              <w:rPr>
                <w:rFonts w:ascii="Arial" w:hAnsi="Arial" w:cs="Arial"/>
                <w:color w:val="010205"/>
              </w:rPr>
              <w:t>1.500</w:t>
            </w:r>
          </w:p>
        </w:tc>
        <w:tc>
          <w:tcPr>
            <w:tcW w:w="64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16.50</w:t>
            </w:r>
            <w:r w:rsidRPr="00136570">
              <w:rPr>
                <w:rFonts w:ascii="Arial" w:hAnsi="Arial" w:cs="Arial"/>
              </w:rPr>
              <w:t>±</w:t>
            </w:r>
            <w:r w:rsidRPr="00136570">
              <w:rPr>
                <w:rFonts w:ascii="Arial" w:hAnsi="Arial" w:cs="Arial"/>
                <w:color w:val="010205"/>
              </w:rPr>
              <w:t xml:space="preserve"> 3.500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18.50</w:t>
            </w:r>
            <w:r w:rsidRPr="00136570">
              <w:rPr>
                <w:rFonts w:ascii="Arial" w:hAnsi="Arial" w:cs="Arial"/>
              </w:rPr>
              <w:t>±</w:t>
            </w:r>
            <w:r w:rsidRPr="00136570">
              <w:rPr>
                <w:rFonts w:ascii="Arial" w:hAnsi="Arial" w:cs="Arial"/>
                <w:color w:val="010205"/>
              </w:rPr>
              <w:t>2.500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 xml:space="preserve">17.50 </w:t>
            </w:r>
            <w:r w:rsidRPr="00136570">
              <w:rPr>
                <w:rFonts w:ascii="Arial" w:hAnsi="Arial" w:cs="Arial"/>
              </w:rPr>
              <w:t>±</w:t>
            </w:r>
            <w:r w:rsidRPr="00136570">
              <w:rPr>
                <w:rFonts w:ascii="Arial" w:hAnsi="Arial" w:cs="Arial"/>
                <w:color w:val="010205"/>
              </w:rPr>
              <w:t>1.500</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≤500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≤500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Alkalinity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 xml:space="preserve">0.770 </w:t>
            </w:r>
            <w:r w:rsidRPr="00136570">
              <w:rPr>
                <w:rFonts w:ascii="Arial" w:hAnsi="Arial" w:cs="Arial"/>
              </w:rPr>
              <w:t>±</w:t>
            </w:r>
            <w:r w:rsidRPr="00136570">
              <w:rPr>
                <w:rFonts w:ascii="Arial" w:hAnsi="Arial" w:cs="Arial"/>
                <w:color w:val="010205"/>
              </w:rPr>
              <w:t>0.730</w:t>
            </w:r>
          </w:p>
        </w:tc>
        <w:tc>
          <w:tcPr>
            <w:tcW w:w="64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0.990</w:t>
            </w:r>
            <w:r w:rsidRPr="00136570">
              <w:rPr>
                <w:rFonts w:ascii="Arial" w:hAnsi="Arial" w:cs="Arial"/>
              </w:rPr>
              <w:t>±0</w:t>
            </w:r>
            <w:r w:rsidRPr="00136570">
              <w:rPr>
                <w:rFonts w:ascii="Arial" w:hAnsi="Arial" w:cs="Arial"/>
                <w:color w:val="010205"/>
              </w:rPr>
              <w:t xml:space="preserve"> .910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0.660</w:t>
            </w:r>
            <w:r w:rsidRPr="00136570">
              <w:rPr>
                <w:rFonts w:ascii="Arial" w:hAnsi="Arial" w:cs="Arial"/>
              </w:rPr>
              <w:t>±0</w:t>
            </w:r>
            <w:r w:rsidRPr="00136570">
              <w:rPr>
                <w:rFonts w:ascii="Arial" w:hAnsi="Arial" w:cs="Arial"/>
                <w:color w:val="010205"/>
              </w:rPr>
              <w:t>.540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1.130</w:t>
            </w:r>
            <w:r w:rsidRPr="00136570">
              <w:rPr>
                <w:rFonts w:ascii="Arial" w:hAnsi="Arial" w:cs="Arial"/>
              </w:rPr>
              <w:t>±0</w:t>
            </w:r>
            <w:r w:rsidRPr="00136570">
              <w:rPr>
                <w:rFonts w:ascii="Arial" w:hAnsi="Arial" w:cs="Arial"/>
                <w:color w:val="010205"/>
              </w:rPr>
              <w:t xml:space="preserve"> .950</w:t>
            </w:r>
          </w:p>
        </w:tc>
        <w:tc>
          <w:tcPr>
            <w:tcW w:w="532" w:type="pct"/>
            <w:tcBorders>
              <w:top w:val="nil"/>
              <w:left w:val="nil"/>
              <w:bottom w:val="nil"/>
              <w:right w:val="nil"/>
            </w:tcBorders>
            <w:hideMark/>
          </w:tcPr>
          <w:p w:rsidR="00687AAF" w:rsidRPr="00136570" w:rsidRDefault="00687AAF" w:rsidP="00A72992">
            <w:pPr>
              <w:rPr>
                <w:rFonts w:ascii="Arial" w:hAnsi="Arial" w:cs="Arial"/>
                <w:color w:val="000000"/>
              </w:rPr>
            </w:pPr>
            <w:r w:rsidRPr="00136570">
              <w:rPr>
                <w:rFonts w:ascii="Arial" w:hAnsi="Arial" w:cs="Arial"/>
                <w:color w:val="000000"/>
              </w:rPr>
              <w:t>200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20–200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Total Suspended Solids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19.705</w:t>
            </w:r>
            <w:r w:rsidRPr="00136570">
              <w:rPr>
                <w:rFonts w:ascii="Arial" w:hAnsi="Arial" w:cs="Arial"/>
              </w:rPr>
              <w:t>±</w:t>
            </w:r>
            <w:r w:rsidRPr="00136570">
              <w:rPr>
                <w:rFonts w:ascii="Arial" w:hAnsi="Arial" w:cs="Arial"/>
                <w:color w:val="010205"/>
              </w:rPr>
              <w:t>9.595</w:t>
            </w:r>
          </w:p>
        </w:tc>
        <w:tc>
          <w:tcPr>
            <w:tcW w:w="64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33.150</w:t>
            </w:r>
            <w:r w:rsidRPr="00136570">
              <w:rPr>
                <w:rFonts w:ascii="Arial" w:hAnsi="Arial" w:cs="Arial"/>
              </w:rPr>
              <w:t>±</w:t>
            </w:r>
            <w:r w:rsidRPr="00136570">
              <w:rPr>
                <w:rFonts w:ascii="Arial" w:hAnsi="Arial" w:cs="Arial"/>
                <w:color w:val="010205"/>
              </w:rPr>
              <w:t>12.150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40.650</w:t>
            </w:r>
            <w:r w:rsidRPr="00136570">
              <w:rPr>
                <w:rFonts w:ascii="Arial" w:hAnsi="Arial" w:cs="Arial"/>
              </w:rPr>
              <w:t>±</w:t>
            </w:r>
            <w:r w:rsidRPr="00136570">
              <w:rPr>
                <w:rFonts w:ascii="Arial" w:hAnsi="Arial" w:cs="Arial"/>
                <w:color w:val="010205"/>
              </w:rPr>
              <w:t>1.350</w:t>
            </w:r>
          </w:p>
        </w:tc>
        <w:tc>
          <w:tcPr>
            <w:tcW w:w="629" w:type="pct"/>
            <w:tcBorders>
              <w:top w:val="nil"/>
              <w:left w:val="nil"/>
              <w:bottom w:val="nil"/>
              <w:right w:val="nil"/>
            </w:tcBorders>
            <w:vAlign w:val="bottom"/>
            <w:hideMark/>
          </w:tcPr>
          <w:p w:rsidR="00687AAF" w:rsidRPr="00136570" w:rsidRDefault="00687AAF" w:rsidP="00A72992">
            <w:pPr>
              <w:tabs>
                <w:tab w:val="center" w:pos="1309"/>
              </w:tabs>
              <w:jc w:val="center"/>
              <w:rPr>
                <w:rFonts w:ascii="Arial" w:hAnsi="Arial" w:cs="Arial"/>
              </w:rPr>
            </w:pPr>
            <w:r w:rsidRPr="00136570">
              <w:rPr>
                <w:rFonts w:ascii="Arial" w:hAnsi="Arial" w:cs="Arial"/>
                <w:color w:val="010205"/>
              </w:rPr>
              <w:t>29.500</w:t>
            </w:r>
            <w:r w:rsidRPr="00136570">
              <w:rPr>
                <w:rFonts w:ascii="Arial" w:hAnsi="Arial" w:cs="Arial"/>
              </w:rPr>
              <w:t>±</w:t>
            </w:r>
            <w:r w:rsidRPr="00136570">
              <w:rPr>
                <w:rFonts w:ascii="Arial" w:hAnsi="Arial" w:cs="Arial"/>
                <w:color w:val="010205"/>
              </w:rPr>
              <w:t>17.500</w:t>
            </w:r>
          </w:p>
        </w:tc>
        <w:tc>
          <w:tcPr>
            <w:tcW w:w="532" w:type="pct"/>
            <w:tcBorders>
              <w:top w:val="nil"/>
              <w:left w:val="nil"/>
              <w:bottom w:val="nil"/>
              <w:right w:val="nil"/>
            </w:tcBorders>
            <w:hideMark/>
          </w:tcPr>
          <w:p w:rsidR="00687AAF" w:rsidRPr="00136570" w:rsidRDefault="00687AAF" w:rsidP="00A72992">
            <w:pPr>
              <w:rPr>
                <w:rFonts w:ascii="Arial" w:hAnsi="Arial" w:cs="Arial"/>
                <w:color w:val="000000"/>
              </w:rPr>
            </w:pPr>
            <w:r w:rsidRPr="00136570">
              <w:rPr>
                <w:rFonts w:ascii="Arial" w:hAnsi="Arial" w:cs="Arial"/>
                <w:color w:val="000000"/>
              </w:rPr>
              <w:t>30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≤30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Total Hardness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2.400</w:t>
            </w:r>
            <w:r w:rsidRPr="00136570">
              <w:rPr>
                <w:rFonts w:ascii="Arial" w:hAnsi="Arial" w:cs="Arial"/>
              </w:rPr>
              <w:t>±0</w:t>
            </w:r>
            <w:r w:rsidRPr="00136570">
              <w:rPr>
                <w:rFonts w:ascii="Arial" w:hAnsi="Arial" w:cs="Arial"/>
                <w:color w:val="010205"/>
              </w:rPr>
              <w:t xml:space="preserve"> .600</w:t>
            </w:r>
          </w:p>
        </w:tc>
        <w:tc>
          <w:tcPr>
            <w:tcW w:w="64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4.550</w:t>
            </w:r>
            <w:r w:rsidRPr="00136570">
              <w:rPr>
                <w:rFonts w:ascii="Arial" w:hAnsi="Arial" w:cs="Arial"/>
              </w:rPr>
              <w:t>±</w:t>
            </w:r>
            <w:r w:rsidRPr="00136570">
              <w:rPr>
                <w:rFonts w:ascii="Arial" w:hAnsi="Arial" w:cs="Arial"/>
                <w:color w:val="010205"/>
              </w:rPr>
              <w:t>1.450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 xml:space="preserve">5.300 </w:t>
            </w:r>
            <w:r w:rsidRPr="00136570">
              <w:rPr>
                <w:rFonts w:ascii="Arial" w:hAnsi="Arial" w:cs="Arial"/>
              </w:rPr>
              <w:t>±</w:t>
            </w:r>
            <w:r w:rsidRPr="00136570">
              <w:rPr>
                <w:rFonts w:ascii="Arial" w:hAnsi="Arial" w:cs="Arial"/>
                <w:color w:val="010205"/>
              </w:rPr>
              <w:t>4.000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6.150</w:t>
            </w:r>
            <w:r w:rsidRPr="00136570">
              <w:rPr>
                <w:rFonts w:ascii="Arial" w:hAnsi="Arial" w:cs="Arial"/>
              </w:rPr>
              <w:t>±</w:t>
            </w:r>
            <w:r w:rsidRPr="00136570">
              <w:rPr>
                <w:rFonts w:ascii="Arial" w:hAnsi="Arial" w:cs="Arial"/>
                <w:color w:val="010205"/>
              </w:rPr>
              <w:t>1.332</w:t>
            </w:r>
          </w:p>
        </w:tc>
        <w:tc>
          <w:tcPr>
            <w:tcW w:w="532" w:type="pct"/>
            <w:tcBorders>
              <w:top w:val="nil"/>
              <w:left w:val="nil"/>
              <w:bottom w:val="nil"/>
              <w:right w:val="nil"/>
            </w:tcBorders>
            <w:hideMark/>
          </w:tcPr>
          <w:p w:rsidR="00687AAF" w:rsidRPr="00136570" w:rsidRDefault="00687AAF" w:rsidP="00A72992">
            <w:pPr>
              <w:rPr>
                <w:rFonts w:ascii="Arial" w:hAnsi="Arial" w:cs="Arial"/>
                <w:color w:val="000000"/>
              </w:rPr>
            </w:pPr>
            <w:r w:rsidRPr="00136570">
              <w:rPr>
                <w:rFonts w:ascii="Arial" w:hAnsi="Arial" w:cs="Arial"/>
                <w:color w:val="000000"/>
              </w:rPr>
              <w:t>500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100–500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DO</w:t>
            </w:r>
            <w:r w:rsidRPr="00FC4C53">
              <w:rPr>
                <w:rFonts w:ascii="Arial" w:hAnsi="Arial" w:cs="Arial"/>
                <w:spacing w:val="-2"/>
                <w:sz w:val="20"/>
                <w:szCs w:val="20"/>
              </w:rPr>
              <w:t xml:space="preserve"> (mg/L)</w:t>
            </w:r>
          </w:p>
        </w:tc>
        <w:tc>
          <w:tcPr>
            <w:tcW w:w="67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13.210</w:t>
            </w:r>
            <w:r w:rsidRPr="00136570">
              <w:rPr>
                <w:rFonts w:ascii="Arial" w:hAnsi="Arial" w:cs="Arial"/>
              </w:rPr>
              <w:t>±</w:t>
            </w:r>
            <w:r w:rsidRPr="00136570">
              <w:rPr>
                <w:rFonts w:ascii="Arial" w:hAnsi="Arial" w:cs="Arial"/>
                <w:color w:val="010205"/>
              </w:rPr>
              <w:t>10.290</w:t>
            </w:r>
          </w:p>
        </w:tc>
        <w:tc>
          <w:tcPr>
            <w:tcW w:w="64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13.100</w:t>
            </w:r>
            <w:r w:rsidRPr="00136570">
              <w:rPr>
                <w:rFonts w:ascii="Arial" w:hAnsi="Arial" w:cs="Arial"/>
              </w:rPr>
              <w:t>±</w:t>
            </w:r>
            <w:r w:rsidRPr="00136570">
              <w:rPr>
                <w:rFonts w:ascii="Arial" w:hAnsi="Arial" w:cs="Arial"/>
                <w:color w:val="010205"/>
              </w:rPr>
              <w:t xml:space="preserve"> 9.300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15.200</w:t>
            </w:r>
            <w:r w:rsidRPr="00136570">
              <w:rPr>
                <w:rFonts w:ascii="Arial" w:hAnsi="Arial" w:cs="Arial"/>
              </w:rPr>
              <w:t>±</w:t>
            </w:r>
            <w:r w:rsidRPr="00136570">
              <w:rPr>
                <w:rFonts w:ascii="Arial" w:hAnsi="Arial" w:cs="Arial"/>
                <w:color w:val="010205"/>
              </w:rPr>
              <w:t>10.700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16.00</w:t>
            </w:r>
            <w:r w:rsidRPr="00136570">
              <w:rPr>
                <w:rFonts w:ascii="Arial" w:hAnsi="Arial" w:cs="Arial"/>
              </w:rPr>
              <w:t>±</w:t>
            </w:r>
            <w:r w:rsidRPr="00136570">
              <w:rPr>
                <w:rFonts w:ascii="Arial" w:hAnsi="Arial" w:cs="Arial"/>
                <w:color w:val="010205"/>
              </w:rPr>
              <w:t>11.900</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≥5</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≥5</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spacing w:before="2"/>
              <w:ind w:left="601"/>
              <w:rPr>
                <w:rFonts w:ascii="Arial" w:hAnsi="Arial" w:cs="Arial"/>
                <w:sz w:val="20"/>
                <w:szCs w:val="20"/>
              </w:rPr>
            </w:pPr>
            <w:r w:rsidRPr="00FC4C53">
              <w:rPr>
                <w:rFonts w:ascii="Arial" w:hAnsi="Arial" w:cs="Arial"/>
                <w:sz w:val="20"/>
                <w:szCs w:val="20"/>
              </w:rPr>
              <w:t xml:space="preserve">BOD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0.550</w:t>
            </w:r>
            <w:r w:rsidRPr="00136570">
              <w:rPr>
                <w:rFonts w:ascii="Arial" w:hAnsi="Arial" w:cs="Arial"/>
              </w:rPr>
              <w:t>±0</w:t>
            </w:r>
            <w:r w:rsidRPr="00136570">
              <w:rPr>
                <w:rFonts w:ascii="Arial" w:hAnsi="Arial" w:cs="Arial"/>
                <w:color w:val="010205"/>
              </w:rPr>
              <w:t xml:space="preserve"> .450</w:t>
            </w:r>
          </w:p>
        </w:tc>
        <w:tc>
          <w:tcPr>
            <w:tcW w:w="64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 xml:space="preserve">1.405 </w:t>
            </w:r>
            <w:r w:rsidRPr="00136570">
              <w:rPr>
                <w:rFonts w:ascii="Arial" w:hAnsi="Arial" w:cs="Arial"/>
              </w:rPr>
              <w:t>±</w:t>
            </w:r>
            <w:r w:rsidRPr="00136570">
              <w:rPr>
                <w:rFonts w:ascii="Arial" w:hAnsi="Arial" w:cs="Arial"/>
                <w:color w:val="010205"/>
              </w:rPr>
              <w:t>1.195</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 xml:space="preserve">1.750 </w:t>
            </w:r>
            <w:r w:rsidRPr="00136570">
              <w:rPr>
                <w:rFonts w:ascii="Arial" w:hAnsi="Arial" w:cs="Arial"/>
              </w:rPr>
              <w:t>±</w:t>
            </w:r>
            <w:r w:rsidRPr="00136570">
              <w:rPr>
                <w:rFonts w:ascii="Arial" w:hAnsi="Arial" w:cs="Arial"/>
                <w:color w:val="010205"/>
              </w:rPr>
              <w:t>1.650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2.205</w:t>
            </w:r>
            <w:r w:rsidRPr="00136570">
              <w:rPr>
                <w:rFonts w:ascii="Arial" w:hAnsi="Arial" w:cs="Arial"/>
              </w:rPr>
              <w:t>±</w:t>
            </w:r>
            <w:r w:rsidRPr="00136570">
              <w:rPr>
                <w:rFonts w:ascii="Arial" w:hAnsi="Arial" w:cs="Arial"/>
                <w:color w:val="010205"/>
              </w:rPr>
              <w:t>1.995</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≤3</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≤3</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color w:val="111111"/>
                <w:sz w:val="20"/>
                <w:szCs w:val="20"/>
              </w:rPr>
              <w:t xml:space="preserve">Magnesium Carbonate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0.250</w:t>
            </w:r>
            <w:r w:rsidRPr="00136570">
              <w:rPr>
                <w:rFonts w:ascii="Arial" w:hAnsi="Arial" w:cs="Arial"/>
                <w:sz w:val="20"/>
                <w:szCs w:val="20"/>
              </w:rPr>
              <w:t>±</w:t>
            </w:r>
            <w:r w:rsidRPr="00136570">
              <w:rPr>
                <w:rFonts w:ascii="Arial" w:hAnsi="Arial" w:cs="Arial"/>
                <w:color w:val="010205"/>
                <w:sz w:val="20"/>
                <w:szCs w:val="20"/>
              </w:rPr>
              <w:t>0.050</w:t>
            </w:r>
          </w:p>
        </w:tc>
        <w:tc>
          <w:tcPr>
            <w:tcW w:w="64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0.300</w:t>
            </w:r>
            <w:r w:rsidRPr="00136570">
              <w:rPr>
                <w:rFonts w:ascii="Arial" w:hAnsi="Arial" w:cs="Arial"/>
              </w:rPr>
              <w:t>±0</w:t>
            </w:r>
            <w:r w:rsidRPr="00136570">
              <w:rPr>
                <w:rFonts w:ascii="Arial" w:hAnsi="Arial" w:cs="Arial"/>
                <w:color w:val="010205"/>
              </w:rPr>
              <w:t xml:space="preserve"> .260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0.890</w:t>
            </w:r>
            <w:r w:rsidRPr="00136570">
              <w:rPr>
                <w:rFonts w:ascii="Arial" w:hAnsi="Arial" w:cs="Arial"/>
              </w:rPr>
              <w:t>±0</w:t>
            </w:r>
            <w:r w:rsidRPr="00136570">
              <w:rPr>
                <w:rFonts w:ascii="Arial" w:hAnsi="Arial" w:cs="Arial"/>
                <w:color w:val="010205"/>
              </w:rPr>
              <w:t>.010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1.975</w:t>
            </w:r>
            <w:r w:rsidRPr="00136570">
              <w:rPr>
                <w:rFonts w:ascii="Arial" w:hAnsi="Arial" w:cs="Arial"/>
              </w:rPr>
              <w:t>±</w:t>
            </w:r>
            <w:r w:rsidRPr="00136570">
              <w:rPr>
                <w:rFonts w:ascii="Arial" w:hAnsi="Arial" w:cs="Arial"/>
                <w:color w:val="010205"/>
              </w:rPr>
              <w:t>1.425</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30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spacing w:before="2"/>
              <w:ind w:left="601"/>
              <w:rPr>
                <w:rFonts w:ascii="Arial" w:hAnsi="Arial" w:cs="Arial"/>
                <w:sz w:val="20"/>
                <w:szCs w:val="20"/>
              </w:rPr>
            </w:pPr>
            <w:r w:rsidRPr="00FC4C53">
              <w:rPr>
                <w:rFonts w:ascii="Arial" w:hAnsi="Arial" w:cs="Arial"/>
                <w:sz w:val="20"/>
                <w:szCs w:val="20"/>
              </w:rPr>
              <w:t xml:space="preserve">Calcium </w:t>
            </w:r>
            <w:r w:rsidRPr="00FC4C53">
              <w:rPr>
                <w:rFonts w:ascii="Arial" w:hAnsi="Arial" w:cs="Arial"/>
                <w:color w:val="111111"/>
                <w:sz w:val="20"/>
                <w:szCs w:val="20"/>
              </w:rPr>
              <w:t xml:space="preserve">Carbonate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pStyle w:val="TableParagraph"/>
              <w:spacing w:before="2"/>
              <w:ind w:left="105"/>
              <w:jc w:val="center"/>
              <w:rPr>
                <w:rFonts w:ascii="Arial" w:hAnsi="Arial" w:cs="Arial"/>
                <w:sz w:val="20"/>
                <w:szCs w:val="20"/>
              </w:rPr>
            </w:pPr>
            <w:r w:rsidRPr="00136570">
              <w:rPr>
                <w:rFonts w:ascii="Arial" w:hAnsi="Arial" w:cs="Arial"/>
                <w:color w:val="010205"/>
                <w:sz w:val="20"/>
                <w:szCs w:val="20"/>
              </w:rPr>
              <w:t>1.250</w:t>
            </w:r>
            <w:r w:rsidRPr="00136570">
              <w:rPr>
                <w:rFonts w:ascii="Arial" w:hAnsi="Arial" w:cs="Arial"/>
                <w:sz w:val="20"/>
                <w:szCs w:val="20"/>
              </w:rPr>
              <w:t>±</w:t>
            </w:r>
            <w:r w:rsidRPr="00136570">
              <w:rPr>
                <w:rFonts w:ascii="Arial" w:hAnsi="Arial" w:cs="Arial"/>
                <w:color w:val="010205"/>
                <w:sz w:val="20"/>
                <w:szCs w:val="20"/>
              </w:rPr>
              <w:t>1.250</w:t>
            </w:r>
          </w:p>
        </w:tc>
        <w:tc>
          <w:tcPr>
            <w:tcW w:w="648"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 xml:space="preserve">1.350 </w:t>
            </w:r>
            <w:r w:rsidRPr="00136570">
              <w:rPr>
                <w:rFonts w:ascii="Arial" w:hAnsi="Arial" w:cs="Arial"/>
              </w:rPr>
              <w:t>±</w:t>
            </w:r>
            <w:r w:rsidRPr="00136570">
              <w:rPr>
                <w:rFonts w:ascii="Arial" w:hAnsi="Arial" w:cs="Arial"/>
                <w:color w:val="010205"/>
              </w:rPr>
              <w:t xml:space="preserve"> 1.350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1.100</w:t>
            </w:r>
            <w:r w:rsidRPr="00136570">
              <w:rPr>
                <w:rFonts w:ascii="Arial" w:hAnsi="Arial" w:cs="Arial"/>
              </w:rPr>
              <w:t>±</w:t>
            </w:r>
            <w:r w:rsidRPr="00136570">
              <w:rPr>
                <w:rFonts w:ascii="Arial" w:hAnsi="Arial" w:cs="Arial"/>
                <w:color w:val="010205"/>
              </w:rPr>
              <w:t>1.100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2.350</w:t>
            </w:r>
            <w:r w:rsidRPr="00136570">
              <w:rPr>
                <w:rFonts w:ascii="Arial" w:hAnsi="Arial" w:cs="Arial"/>
              </w:rPr>
              <w:t>±</w:t>
            </w:r>
            <w:r w:rsidRPr="00136570">
              <w:rPr>
                <w:rFonts w:ascii="Arial" w:hAnsi="Arial" w:cs="Arial"/>
                <w:color w:val="010205"/>
              </w:rPr>
              <w:t>2.350</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≤100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≤100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Nitrate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pStyle w:val="TableParagraph"/>
              <w:spacing w:line="230" w:lineRule="exact"/>
              <w:ind w:left="112" w:right="33"/>
              <w:jc w:val="center"/>
              <w:rPr>
                <w:rFonts w:ascii="Arial" w:hAnsi="Arial" w:cs="Arial"/>
                <w:b/>
                <w:sz w:val="20"/>
                <w:szCs w:val="20"/>
              </w:rPr>
            </w:pPr>
            <w:r w:rsidRPr="00136570">
              <w:rPr>
                <w:rFonts w:ascii="Arial" w:hAnsi="Arial" w:cs="Arial"/>
                <w:color w:val="010205"/>
                <w:sz w:val="20"/>
                <w:szCs w:val="20"/>
              </w:rPr>
              <w:t>81.420</w:t>
            </w:r>
            <w:r w:rsidRPr="00136570">
              <w:rPr>
                <w:rFonts w:ascii="Arial" w:hAnsi="Arial" w:cs="Arial"/>
                <w:sz w:val="20"/>
                <w:szCs w:val="20"/>
              </w:rPr>
              <w:t>±</w:t>
            </w:r>
            <w:r w:rsidRPr="00136570">
              <w:rPr>
                <w:rFonts w:ascii="Arial" w:hAnsi="Arial" w:cs="Arial"/>
                <w:color w:val="010205"/>
                <w:sz w:val="20"/>
                <w:szCs w:val="20"/>
              </w:rPr>
              <w:t>51.32</w:t>
            </w:r>
          </w:p>
        </w:tc>
        <w:tc>
          <w:tcPr>
            <w:tcW w:w="64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104.885</w:t>
            </w:r>
            <w:r w:rsidRPr="00136570">
              <w:rPr>
                <w:rFonts w:ascii="Arial" w:hAnsi="Arial" w:cs="Arial"/>
                <w:sz w:val="20"/>
                <w:szCs w:val="20"/>
              </w:rPr>
              <w:t>±</w:t>
            </w:r>
            <w:r w:rsidRPr="00136570">
              <w:rPr>
                <w:rFonts w:ascii="Arial" w:hAnsi="Arial" w:cs="Arial"/>
                <w:color w:val="010205"/>
                <w:sz w:val="20"/>
                <w:szCs w:val="20"/>
              </w:rPr>
              <w:t>76.53</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88.220</w:t>
            </w:r>
            <w:r w:rsidRPr="00136570">
              <w:rPr>
                <w:rFonts w:ascii="Arial" w:hAnsi="Arial" w:cs="Arial"/>
              </w:rPr>
              <w:t>±</w:t>
            </w:r>
            <w:r w:rsidRPr="00136570">
              <w:rPr>
                <w:rFonts w:ascii="Arial" w:hAnsi="Arial" w:cs="Arial"/>
                <w:color w:val="010205"/>
              </w:rPr>
              <w:t>62.22</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84.295</w:t>
            </w:r>
            <w:r w:rsidRPr="00136570">
              <w:rPr>
                <w:rFonts w:ascii="Arial" w:hAnsi="Arial" w:cs="Arial"/>
              </w:rPr>
              <w:t>±</w:t>
            </w:r>
            <w:r w:rsidRPr="00136570">
              <w:rPr>
                <w:rFonts w:ascii="Arial" w:hAnsi="Arial" w:cs="Arial"/>
                <w:color w:val="010205"/>
              </w:rPr>
              <w:t>57.295</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≤10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≤10</w:t>
            </w:r>
          </w:p>
        </w:tc>
      </w:tr>
      <w:tr w:rsidR="00687AAF" w:rsidRPr="00136570" w:rsidTr="001D7DAE">
        <w:tc>
          <w:tcPr>
            <w:tcW w:w="1430" w:type="pct"/>
            <w:tcBorders>
              <w:top w:val="nil"/>
              <w:left w:val="nil"/>
              <w:bottom w:val="nil"/>
              <w:right w:val="nil"/>
            </w:tcBorders>
            <w:vAlign w:val="bottom"/>
            <w:hideMark/>
          </w:tcPr>
          <w:p w:rsidR="00687AAF" w:rsidRPr="00FC4C53" w:rsidRDefault="001000DD" w:rsidP="00A72992">
            <w:pPr>
              <w:pStyle w:val="TableParagraph"/>
              <w:spacing w:line="230" w:lineRule="exact"/>
              <w:ind w:left="601" w:right="770"/>
              <w:rPr>
                <w:rFonts w:ascii="Arial" w:hAnsi="Arial" w:cs="Arial"/>
                <w:sz w:val="20"/>
                <w:szCs w:val="20"/>
              </w:rPr>
            </w:pPr>
            <w:r>
              <w:rPr>
                <w:rFonts w:ascii="Arial" w:hAnsi="Arial" w:cs="Arial"/>
                <w:spacing w:val="-2"/>
                <w:sz w:val="20"/>
                <w:szCs w:val="20"/>
              </w:rPr>
              <w:t>Phosphate</w:t>
            </w:r>
            <w:r w:rsidR="00687AAF" w:rsidRPr="00FC4C53">
              <w:rPr>
                <w:rFonts w:ascii="Arial" w:hAnsi="Arial" w:cs="Arial"/>
                <w:spacing w:val="-2"/>
                <w:sz w:val="20"/>
                <w:szCs w:val="20"/>
              </w:rPr>
              <w:t xml:space="preserve"> (mg/L)</w:t>
            </w:r>
          </w:p>
        </w:tc>
        <w:tc>
          <w:tcPr>
            <w:tcW w:w="678" w:type="pct"/>
            <w:tcBorders>
              <w:top w:val="nil"/>
              <w:left w:val="nil"/>
              <w:bottom w:val="nil"/>
              <w:right w:val="nil"/>
            </w:tcBorders>
            <w:vAlign w:val="bottom"/>
            <w:hideMark/>
          </w:tcPr>
          <w:p w:rsidR="00687AAF" w:rsidRPr="00136570" w:rsidRDefault="00687AAF" w:rsidP="00A72992">
            <w:pPr>
              <w:pStyle w:val="TableParagraph"/>
              <w:ind w:left="112"/>
              <w:jc w:val="center"/>
              <w:rPr>
                <w:rFonts w:ascii="Arial" w:hAnsi="Arial" w:cs="Arial"/>
                <w:b/>
                <w:sz w:val="20"/>
                <w:szCs w:val="20"/>
              </w:rPr>
            </w:pPr>
            <w:r w:rsidRPr="00136570">
              <w:rPr>
                <w:rFonts w:ascii="Arial" w:hAnsi="Arial" w:cs="Arial"/>
                <w:color w:val="010205"/>
                <w:sz w:val="20"/>
                <w:szCs w:val="20"/>
              </w:rPr>
              <w:t xml:space="preserve">0.760 </w:t>
            </w:r>
            <w:r w:rsidRPr="00136570">
              <w:rPr>
                <w:rFonts w:ascii="Arial" w:hAnsi="Arial" w:cs="Arial"/>
                <w:sz w:val="20"/>
                <w:szCs w:val="20"/>
              </w:rPr>
              <w:t>±0</w:t>
            </w:r>
            <w:r w:rsidRPr="00136570">
              <w:rPr>
                <w:rFonts w:ascii="Arial" w:hAnsi="Arial" w:cs="Arial"/>
                <w:color w:val="010205"/>
                <w:sz w:val="20"/>
                <w:szCs w:val="20"/>
              </w:rPr>
              <w:t>.590</w:t>
            </w:r>
          </w:p>
        </w:tc>
        <w:tc>
          <w:tcPr>
            <w:tcW w:w="64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1.320</w:t>
            </w:r>
            <w:r w:rsidRPr="00136570">
              <w:rPr>
                <w:rFonts w:ascii="Arial" w:hAnsi="Arial" w:cs="Arial"/>
                <w:sz w:val="20"/>
                <w:szCs w:val="20"/>
              </w:rPr>
              <w:t>±0</w:t>
            </w:r>
            <w:r w:rsidRPr="00136570">
              <w:rPr>
                <w:rFonts w:ascii="Arial" w:hAnsi="Arial" w:cs="Arial"/>
                <w:color w:val="010205"/>
                <w:sz w:val="20"/>
                <w:szCs w:val="20"/>
              </w:rPr>
              <w:t>.700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 xml:space="preserve">0.760 </w:t>
            </w:r>
            <w:r w:rsidRPr="00136570">
              <w:rPr>
                <w:rFonts w:ascii="Arial" w:hAnsi="Arial" w:cs="Arial"/>
              </w:rPr>
              <w:t>±0</w:t>
            </w:r>
            <w:r w:rsidRPr="00136570">
              <w:rPr>
                <w:rFonts w:ascii="Arial" w:hAnsi="Arial" w:cs="Arial"/>
                <w:color w:val="010205"/>
              </w:rPr>
              <w:t>.320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0.830</w:t>
            </w:r>
            <w:r w:rsidRPr="00136570">
              <w:rPr>
                <w:rFonts w:ascii="Arial" w:hAnsi="Arial" w:cs="Arial"/>
              </w:rPr>
              <w:t>±0</w:t>
            </w:r>
            <w:r w:rsidRPr="00136570">
              <w:rPr>
                <w:rFonts w:ascii="Arial" w:hAnsi="Arial" w:cs="Arial"/>
                <w:color w:val="010205"/>
              </w:rPr>
              <w:t>.720</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≤0.5</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0.03–0.5</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Sul</w:t>
            </w:r>
            <w:r w:rsidR="00AE2082">
              <w:rPr>
                <w:rFonts w:ascii="Arial" w:hAnsi="Arial" w:cs="Arial"/>
                <w:sz w:val="20"/>
                <w:szCs w:val="20"/>
              </w:rPr>
              <w:t>pH</w:t>
            </w:r>
            <w:r w:rsidRPr="00FC4C53">
              <w:rPr>
                <w:rFonts w:ascii="Arial" w:hAnsi="Arial" w:cs="Arial"/>
                <w:sz w:val="20"/>
                <w:szCs w:val="20"/>
              </w:rPr>
              <w:t xml:space="preserve">ate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pStyle w:val="TableParagraph"/>
              <w:spacing w:line="230" w:lineRule="exact"/>
              <w:ind w:left="107" w:right="-108"/>
              <w:jc w:val="center"/>
              <w:rPr>
                <w:rFonts w:ascii="Arial" w:hAnsi="Arial" w:cs="Arial"/>
                <w:b/>
                <w:spacing w:val="-2"/>
                <w:sz w:val="20"/>
                <w:szCs w:val="20"/>
              </w:rPr>
            </w:pPr>
            <w:r w:rsidRPr="00136570">
              <w:rPr>
                <w:rFonts w:ascii="Arial" w:hAnsi="Arial" w:cs="Arial"/>
                <w:color w:val="010205"/>
                <w:sz w:val="20"/>
                <w:szCs w:val="20"/>
              </w:rPr>
              <w:t>6.603</w:t>
            </w:r>
            <w:r w:rsidRPr="00136570">
              <w:rPr>
                <w:rFonts w:ascii="Arial" w:hAnsi="Arial" w:cs="Arial"/>
                <w:sz w:val="20"/>
                <w:szCs w:val="20"/>
              </w:rPr>
              <w:t>±</w:t>
            </w:r>
            <w:r w:rsidRPr="00136570">
              <w:rPr>
                <w:rFonts w:ascii="Arial" w:hAnsi="Arial" w:cs="Arial"/>
                <w:color w:val="010205"/>
                <w:sz w:val="20"/>
                <w:szCs w:val="20"/>
              </w:rPr>
              <w:t>6.397</w:t>
            </w:r>
          </w:p>
        </w:tc>
        <w:tc>
          <w:tcPr>
            <w:tcW w:w="64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 xml:space="preserve">6.884 </w:t>
            </w:r>
            <w:r w:rsidRPr="00136570">
              <w:rPr>
                <w:rFonts w:ascii="Arial" w:hAnsi="Arial" w:cs="Arial"/>
                <w:sz w:val="20"/>
                <w:szCs w:val="20"/>
              </w:rPr>
              <w:t>±</w:t>
            </w:r>
            <w:r w:rsidRPr="00136570">
              <w:rPr>
                <w:rFonts w:ascii="Arial" w:hAnsi="Arial" w:cs="Arial"/>
                <w:color w:val="010205"/>
                <w:sz w:val="20"/>
                <w:szCs w:val="20"/>
              </w:rPr>
              <w:t>6.786</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5.110</w:t>
            </w:r>
            <w:r w:rsidRPr="00136570">
              <w:rPr>
                <w:rFonts w:ascii="Arial" w:hAnsi="Arial" w:cs="Arial"/>
              </w:rPr>
              <w:t>±</w:t>
            </w:r>
            <w:r w:rsidRPr="00136570">
              <w:rPr>
                <w:rFonts w:ascii="Arial" w:hAnsi="Arial" w:cs="Arial"/>
                <w:color w:val="010205"/>
              </w:rPr>
              <w:t xml:space="preserve"> 4.890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6.533</w:t>
            </w:r>
            <w:r w:rsidRPr="00136570">
              <w:rPr>
                <w:rFonts w:ascii="Arial" w:hAnsi="Arial" w:cs="Arial"/>
              </w:rPr>
              <w:t>±</w:t>
            </w:r>
            <w:r w:rsidRPr="00136570">
              <w:rPr>
                <w:rFonts w:ascii="Arial" w:hAnsi="Arial" w:cs="Arial"/>
                <w:color w:val="010205"/>
              </w:rPr>
              <w:t>6.466</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≤250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≤200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spacing w:line="230" w:lineRule="exact"/>
              <w:ind w:left="601" w:right="713"/>
              <w:rPr>
                <w:rFonts w:ascii="Arial" w:hAnsi="Arial" w:cs="Arial"/>
                <w:sz w:val="20"/>
                <w:szCs w:val="20"/>
              </w:rPr>
            </w:pPr>
            <w:r w:rsidRPr="00FC4C53">
              <w:rPr>
                <w:rFonts w:ascii="Arial" w:hAnsi="Arial" w:cs="Arial"/>
                <w:spacing w:val="-2"/>
                <w:sz w:val="20"/>
                <w:szCs w:val="20"/>
              </w:rPr>
              <w:t>Chromium (mg/L)</w:t>
            </w:r>
          </w:p>
        </w:tc>
        <w:tc>
          <w:tcPr>
            <w:tcW w:w="678" w:type="pct"/>
            <w:tcBorders>
              <w:top w:val="nil"/>
              <w:left w:val="nil"/>
              <w:bottom w:val="nil"/>
              <w:right w:val="nil"/>
            </w:tcBorders>
            <w:vAlign w:val="bottom"/>
            <w:hideMark/>
          </w:tcPr>
          <w:p w:rsidR="00687AAF" w:rsidRPr="00136570" w:rsidRDefault="00687AAF" w:rsidP="00A72992">
            <w:pPr>
              <w:pStyle w:val="TableParagraph"/>
              <w:spacing w:line="230" w:lineRule="exact"/>
              <w:ind w:left="107" w:right="-108"/>
              <w:jc w:val="center"/>
              <w:rPr>
                <w:rFonts w:ascii="Arial" w:hAnsi="Arial" w:cs="Arial"/>
                <w:b/>
                <w:sz w:val="20"/>
                <w:szCs w:val="20"/>
              </w:rPr>
            </w:pPr>
            <w:r w:rsidRPr="00136570">
              <w:rPr>
                <w:rFonts w:ascii="Arial" w:hAnsi="Arial" w:cs="Arial"/>
                <w:color w:val="010205"/>
                <w:sz w:val="20"/>
                <w:szCs w:val="20"/>
              </w:rPr>
              <w:t>0.174</w:t>
            </w:r>
            <w:r w:rsidRPr="00136570">
              <w:rPr>
                <w:rFonts w:ascii="Arial" w:hAnsi="Arial" w:cs="Arial"/>
                <w:sz w:val="20"/>
                <w:szCs w:val="20"/>
              </w:rPr>
              <w:t>±0</w:t>
            </w:r>
            <w:r w:rsidRPr="00136570">
              <w:rPr>
                <w:rFonts w:ascii="Arial" w:hAnsi="Arial" w:cs="Arial"/>
                <w:color w:val="010205"/>
                <w:sz w:val="20"/>
                <w:szCs w:val="20"/>
              </w:rPr>
              <w:t>.128</w:t>
            </w:r>
          </w:p>
        </w:tc>
        <w:tc>
          <w:tcPr>
            <w:tcW w:w="64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0.061</w:t>
            </w:r>
            <w:r w:rsidRPr="00136570">
              <w:rPr>
                <w:rFonts w:ascii="Arial" w:hAnsi="Arial" w:cs="Arial"/>
                <w:sz w:val="20"/>
                <w:szCs w:val="20"/>
              </w:rPr>
              <w:t>±</w:t>
            </w:r>
            <w:r w:rsidRPr="00136570">
              <w:rPr>
                <w:rFonts w:ascii="Arial" w:hAnsi="Arial" w:cs="Arial"/>
                <w:color w:val="010205"/>
                <w:sz w:val="20"/>
                <w:szCs w:val="20"/>
              </w:rPr>
              <w:t>0.045</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0.063</w:t>
            </w:r>
            <w:r w:rsidRPr="00136570">
              <w:rPr>
                <w:rFonts w:ascii="Arial" w:hAnsi="Arial" w:cs="Arial"/>
              </w:rPr>
              <w:t>±</w:t>
            </w:r>
            <w:r w:rsidRPr="00136570">
              <w:rPr>
                <w:rFonts w:ascii="Arial" w:hAnsi="Arial" w:cs="Arial"/>
                <w:color w:val="010205"/>
              </w:rPr>
              <w:t>0.047</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0.066</w:t>
            </w:r>
            <w:r w:rsidRPr="00136570">
              <w:rPr>
                <w:rFonts w:ascii="Arial" w:hAnsi="Arial" w:cs="Arial"/>
              </w:rPr>
              <w:t>±</w:t>
            </w:r>
            <w:r w:rsidRPr="00136570">
              <w:rPr>
                <w:rFonts w:ascii="Arial" w:hAnsi="Arial" w:cs="Arial"/>
                <w:color w:val="010205"/>
              </w:rPr>
              <w:t>0.040</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≤0.05</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≤0.05</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spacing w:line="230" w:lineRule="exact"/>
              <w:ind w:left="601" w:right="693"/>
              <w:rPr>
                <w:rFonts w:ascii="Arial" w:hAnsi="Arial" w:cs="Arial"/>
                <w:sz w:val="20"/>
                <w:szCs w:val="20"/>
              </w:rPr>
            </w:pPr>
            <w:r w:rsidRPr="00FC4C53">
              <w:rPr>
                <w:rFonts w:ascii="Arial" w:hAnsi="Arial" w:cs="Arial"/>
                <w:spacing w:val="-2"/>
                <w:sz w:val="20"/>
                <w:szCs w:val="20"/>
              </w:rPr>
              <w:t>Manganese (mg/L)</w:t>
            </w:r>
          </w:p>
        </w:tc>
        <w:tc>
          <w:tcPr>
            <w:tcW w:w="678" w:type="pct"/>
            <w:tcBorders>
              <w:top w:val="nil"/>
              <w:left w:val="nil"/>
              <w:bottom w:val="nil"/>
              <w:right w:val="nil"/>
            </w:tcBorders>
            <w:vAlign w:val="bottom"/>
            <w:hideMark/>
          </w:tcPr>
          <w:p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0.079</w:t>
            </w:r>
            <w:r w:rsidRPr="00136570">
              <w:rPr>
                <w:rFonts w:ascii="Arial" w:hAnsi="Arial" w:cs="Arial"/>
                <w:sz w:val="20"/>
                <w:szCs w:val="20"/>
              </w:rPr>
              <w:t>±0</w:t>
            </w:r>
            <w:r w:rsidRPr="00136570">
              <w:rPr>
                <w:rFonts w:ascii="Arial" w:hAnsi="Arial" w:cs="Arial"/>
                <w:color w:val="010205"/>
                <w:sz w:val="20"/>
                <w:szCs w:val="20"/>
              </w:rPr>
              <w:t>.010</w:t>
            </w:r>
          </w:p>
        </w:tc>
        <w:tc>
          <w:tcPr>
            <w:tcW w:w="64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0.0550</w:t>
            </w:r>
            <w:r w:rsidRPr="00136570">
              <w:rPr>
                <w:rFonts w:ascii="Arial" w:hAnsi="Arial" w:cs="Arial"/>
                <w:sz w:val="20"/>
                <w:szCs w:val="20"/>
              </w:rPr>
              <w:t>±0</w:t>
            </w:r>
            <w:r w:rsidRPr="00136570">
              <w:rPr>
                <w:rFonts w:ascii="Arial" w:hAnsi="Arial" w:cs="Arial"/>
                <w:color w:val="010205"/>
                <w:sz w:val="20"/>
                <w:szCs w:val="20"/>
              </w:rPr>
              <w:t>.032</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0.071</w:t>
            </w:r>
            <w:r w:rsidRPr="00136570">
              <w:rPr>
                <w:rFonts w:ascii="Arial" w:hAnsi="Arial" w:cs="Arial"/>
              </w:rPr>
              <w:t>±</w:t>
            </w:r>
            <w:r w:rsidRPr="00136570">
              <w:rPr>
                <w:rFonts w:ascii="Arial" w:hAnsi="Arial" w:cs="Arial"/>
                <w:color w:val="010205"/>
              </w:rPr>
              <w:t>0.012</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0.070</w:t>
            </w:r>
            <w:r w:rsidRPr="00136570">
              <w:rPr>
                <w:rFonts w:ascii="Arial" w:hAnsi="Arial" w:cs="Arial"/>
              </w:rPr>
              <w:t>±0</w:t>
            </w:r>
            <w:r w:rsidRPr="00136570">
              <w:rPr>
                <w:rFonts w:ascii="Arial" w:hAnsi="Arial" w:cs="Arial"/>
                <w:color w:val="010205"/>
              </w:rPr>
              <w:t>.028</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≤0.4</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≤0.05</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Lead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0.242</w:t>
            </w:r>
            <w:r w:rsidRPr="00136570">
              <w:rPr>
                <w:rFonts w:ascii="Arial" w:hAnsi="Arial" w:cs="Arial"/>
                <w:sz w:val="20"/>
                <w:szCs w:val="20"/>
              </w:rPr>
              <w:t>±0</w:t>
            </w:r>
            <w:r w:rsidRPr="00136570">
              <w:rPr>
                <w:rFonts w:ascii="Arial" w:hAnsi="Arial" w:cs="Arial"/>
                <w:color w:val="010205"/>
                <w:sz w:val="20"/>
                <w:szCs w:val="20"/>
              </w:rPr>
              <w:t>.221</w:t>
            </w:r>
          </w:p>
        </w:tc>
        <w:tc>
          <w:tcPr>
            <w:tcW w:w="64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0.232</w:t>
            </w:r>
            <w:r w:rsidRPr="00136570">
              <w:rPr>
                <w:rFonts w:ascii="Arial" w:hAnsi="Arial" w:cs="Arial"/>
                <w:sz w:val="20"/>
                <w:szCs w:val="20"/>
              </w:rPr>
              <w:t>±</w:t>
            </w:r>
            <w:r w:rsidRPr="00136570">
              <w:rPr>
                <w:rFonts w:ascii="Arial" w:hAnsi="Arial" w:cs="Arial"/>
                <w:color w:val="010205"/>
                <w:sz w:val="20"/>
                <w:szCs w:val="20"/>
              </w:rPr>
              <w:t>0.21</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0.192</w:t>
            </w:r>
            <w:r w:rsidRPr="00136570">
              <w:rPr>
                <w:rFonts w:ascii="Arial" w:hAnsi="Arial" w:cs="Arial"/>
              </w:rPr>
              <w:t>±</w:t>
            </w:r>
            <w:r w:rsidRPr="00136570">
              <w:rPr>
                <w:rFonts w:ascii="Arial" w:hAnsi="Arial" w:cs="Arial"/>
                <w:color w:val="010205"/>
              </w:rPr>
              <w:t>0.176</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0.246</w:t>
            </w:r>
            <w:r w:rsidRPr="00136570">
              <w:rPr>
                <w:rFonts w:ascii="Arial" w:hAnsi="Arial" w:cs="Arial"/>
              </w:rPr>
              <w:t>±</w:t>
            </w:r>
            <w:r w:rsidRPr="00136570">
              <w:rPr>
                <w:rFonts w:ascii="Arial" w:hAnsi="Arial" w:cs="Arial"/>
                <w:color w:val="010205"/>
              </w:rPr>
              <w:t>0.220</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≤0.01</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≤0.01</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Zinc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0.025</w:t>
            </w:r>
            <w:r w:rsidRPr="00136570">
              <w:rPr>
                <w:rFonts w:ascii="Arial" w:hAnsi="Arial" w:cs="Arial"/>
                <w:sz w:val="20"/>
                <w:szCs w:val="20"/>
              </w:rPr>
              <w:t>±0</w:t>
            </w:r>
            <w:r w:rsidRPr="00136570">
              <w:rPr>
                <w:rFonts w:ascii="Arial" w:hAnsi="Arial" w:cs="Arial"/>
                <w:color w:val="010205"/>
                <w:sz w:val="20"/>
                <w:szCs w:val="20"/>
              </w:rPr>
              <w:t>.009</w:t>
            </w:r>
          </w:p>
        </w:tc>
        <w:tc>
          <w:tcPr>
            <w:tcW w:w="64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0.014</w:t>
            </w:r>
            <w:r w:rsidRPr="00136570">
              <w:rPr>
                <w:rFonts w:ascii="Arial" w:hAnsi="Arial" w:cs="Arial"/>
                <w:sz w:val="20"/>
                <w:szCs w:val="20"/>
              </w:rPr>
              <w:t>±0</w:t>
            </w:r>
            <w:r w:rsidRPr="00136570">
              <w:rPr>
                <w:rFonts w:ascii="Arial" w:hAnsi="Arial" w:cs="Arial"/>
                <w:color w:val="010205"/>
                <w:sz w:val="20"/>
                <w:szCs w:val="20"/>
              </w:rPr>
              <w:t>.011</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0.030</w:t>
            </w:r>
            <w:r w:rsidRPr="00136570">
              <w:rPr>
                <w:rFonts w:ascii="Arial" w:hAnsi="Arial" w:cs="Arial"/>
              </w:rPr>
              <w:t>±0</w:t>
            </w:r>
            <w:r w:rsidRPr="00136570">
              <w:rPr>
                <w:rFonts w:ascii="Arial" w:hAnsi="Arial" w:cs="Arial"/>
                <w:color w:val="010205"/>
              </w:rPr>
              <w:t>.007</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0.021</w:t>
            </w:r>
            <w:r w:rsidRPr="00136570">
              <w:rPr>
                <w:rFonts w:ascii="Arial" w:hAnsi="Arial" w:cs="Arial"/>
              </w:rPr>
              <w:t>±</w:t>
            </w:r>
            <w:r w:rsidRPr="00136570">
              <w:rPr>
                <w:rFonts w:ascii="Arial" w:hAnsi="Arial" w:cs="Arial"/>
                <w:color w:val="010205"/>
              </w:rPr>
              <w:t>0.008</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≤3.0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≤3.0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Copper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pStyle w:val="TableParagraph"/>
              <w:tabs>
                <w:tab w:val="left" w:pos="1088"/>
              </w:tabs>
              <w:spacing w:before="3"/>
              <w:ind w:left="107" w:right="33"/>
              <w:jc w:val="center"/>
              <w:rPr>
                <w:rFonts w:ascii="Arial" w:hAnsi="Arial" w:cs="Arial"/>
                <w:b/>
                <w:sz w:val="20"/>
                <w:szCs w:val="20"/>
              </w:rPr>
            </w:pPr>
            <w:r w:rsidRPr="00136570">
              <w:rPr>
                <w:rFonts w:ascii="Arial" w:hAnsi="Arial" w:cs="Arial"/>
                <w:color w:val="010205"/>
                <w:sz w:val="20"/>
                <w:szCs w:val="20"/>
              </w:rPr>
              <w:t>0.196</w:t>
            </w:r>
            <w:r w:rsidRPr="00136570">
              <w:rPr>
                <w:rFonts w:ascii="Arial" w:hAnsi="Arial" w:cs="Arial"/>
                <w:sz w:val="20"/>
                <w:szCs w:val="20"/>
              </w:rPr>
              <w:t>±</w:t>
            </w:r>
            <w:r w:rsidRPr="00136570">
              <w:rPr>
                <w:rFonts w:ascii="Arial" w:hAnsi="Arial" w:cs="Arial"/>
                <w:color w:val="010205"/>
                <w:sz w:val="20"/>
                <w:szCs w:val="20"/>
              </w:rPr>
              <w:t>0.156</w:t>
            </w:r>
          </w:p>
        </w:tc>
        <w:tc>
          <w:tcPr>
            <w:tcW w:w="648" w:type="pct"/>
            <w:tcBorders>
              <w:top w:val="nil"/>
              <w:left w:val="nil"/>
              <w:bottom w:val="nil"/>
              <w:right w:val="nil"/>
            </w:tcBorders>
            <w:vAlign w:val="bottom"/>
            <w:hideMark/>
          </w:tcPr>
          <w:p w:rsidR="00687AAF" w:rsidRPr="00136570" w:rsidRDefault="00687AAF" w:rsidP="00A72992">
            <w:pPr>
              <w:pStyle w:val="TableParagraph"/>
              <w:spacing w:before="3"/>
              <w:ind w:left="105"/>
              <w:jc w:val="center"/>
              <w:rPr>
                <w:rFonts w:ascii="Arial" w:hAnsi="Arial" w:cs="Arial"/>
                <w:sz w:val="20"/>
                <w:szCs w:val="20"/>
              </w:rPr>
            </w:pPr>
            <w:r w:rsidRPr="00136570">
              <w:rPr>
                <w:rFonts w:ascii="Arial" w:hAnsi="Arial" w:cs="Arial"/>
                <w:color w:val="010205"/>
                <w:sz w:val="20"/>
                <w:szCs w:val="20"/>
              </w:rPr>
              <w:t>0.164</w:t>
            </w:r>
            <w:r w:rsidRPr="00136570">
              <w:rPr>
                <w:rFonts w:ascii="Arial" w:hAnsi="Arial" w:cs="Arial"/>
                <w:sz w:val="20"/>
                <w:szCs w:val="20"/>
              </w:rPr>
              <w:t>±0</w:t>
            </w:r>
            <w:r w:rsidRPr="00136570">
              <w:rPr>
                <w:rFonts w:ascii="Arial" w:hAnsi="Arial" w:cs="Arial"/>
                <w:color w:val="010205"/>
                <w:sz w:val="20"/>
                <w:szCs w:val="20"/>
              </w:rPr>
              <w:t>.129</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0.163</w:t>
            </w:r>
            <w:r w:rsidRPr="00136570">
              <w:rPr>
                <w:rFonts w:ascii="Arial" w:hAnsi="Arial" w:cs="Arial"/>
              </w:rPr>
              <w:t>±</w:t>
            </w:r>
            <w:r w:rsidRPr="00136570">
              <w:rPr>
                <w:rFonts w:ascii="Arial" w:hAnsi="Arial" w:cs="Arial"/>
                <w:color w:val="010205"/>
              </w:rPr>
              <w:t>0.127</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0.125</w:t>
            </w:r>
            <w:r w:rsidRPr="00136570">
              <w:rPr>
                <w:rFonts w:ascii="Arial" w:hAnsi="Arial" w:cs="Arial"/>
              </w:rPr>
              <w:t>±</w:t>
            </w:r>
            <w:r w:rsidRPr="00136570">
              <w:rPr>
                <w:rFonts w:ascii="Arial" w:hAnsi="Arial" w:cs="Arial"/>
                <w:color w:val="010205"/>
              </w:rPr>
              <w:t>0.087</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≤2.0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≤1.0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spacing w:before="3"/>
              <w:ind w:left="601" w:right="660"/>
              <w:rPr>
                <w:rFonts w:ascii="Arial" w:hAnsi="Arial" w:cs="Arial"/>
                <w:sz w:val="20"/>
                <w:szCs w:val="20"/>
              </w:rPr>
            </w:pPr>
            <w:r w:rsidRPr="00FC4C53">
              <w:rPr>
                <w:rFonts w:ascii="Arial" w:hAnsi="Arial" w:cs="Arial"/>
                <w:spacing w:val="-2"/>
                <w:sz w:val="20"/>
                <w:szCs w:val="20"/>
              </w:rPr>
              <w:t>Magnesium (mg/L)</w:t>
            </w:r>
          </w:p>
        </w:tc>
        <w:tc>
          <w:tcPr>
            <w:tcW w:w="678" w:type="pct"/>
            <w:tcBorders>
              <w:top w:val="nil"/>
              <w:left w:val="nil"/>
              <w:bottom w:val="nil"/>
              <w:right w:val="nil"/>
            </w:tcBorders>
            <w:vAlign w:val="bottom"/>
            <w:hideMark/>
          </w:tcPr>
          <w:p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0.167</w:t>
            </w:r>
            <w:r w:rsidRPr="00136570">
              <w:rPr>
                <w:rFonts w:ascii="Arial" w:hAnsi="Arial" w:cs="Arial"/>
                <w:sz w:val="20"/>
                <w:szCs w:val="20"/>
              </w:rPr>
              <w:t>±0</w:t>
            </w:r>
            <w:r w:rsidRPr="00136570">
              <w:rPr>
                <w:rFonts w:ascii="Arial" w:hAnsi="Arial" w:cs="Arial"/>
                <w:color w:val="010205"/>
                <w:sz w:val="20"/>
                <w:szCs w:val="20"/>
              </w:rPr>
              <w:t>.033</w:t>
            </w:r>
          </w:p>
        </w:tc>
        <w:tc>
          <w:tcPr>
            <w:tcW w:w="64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0.030</w:t>
            </w:r>
            <w:r w:rsidRPr="00136570">
              <w:rPr>
                <w:rFonts w:ascii="Arial" w:hAnsi="Arial" w:cs="Arial"/>
                <w:sz w:val="20"/>
                <w:szCs w:val="20"/>
              </w:rPr>
              <w:t>±</w:t>
            </w:r>
            <w:r w:rsidRPr="00136570">
              <w:rPr>
                <w:rFonts w:ascii="Arial" w:hAnsi="Arial" w:cs="Arial"/>
                <w:color w:val="010205"/>
                <w:sz w:val="20"/>
                <w:szCs w:val="20"/>
              </w:rPr>
              <w:t>0.010</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0.464</w:t>
            </w:r>
            <w:r w:rsidRPr="00136570">
              <w:rPr>
                <w:rFonts w:ascii="Arial" w:hAnsi="Arial" w:cs="Arial"/>
              </w:rPr>
              <w:t>±</w:t>
            </w:r>
            <w:r w:rsidRPr="00136570">
              <w:rPr>
                <w:rFonts w:ascii="Arial" w:hAnsi="Arial" w:cs="Arial"/>
                <w:color w:val="010205"/>
              </w:rPr>
              <w:t>0.435</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 xml:space="preserve">1.724 </w:t>
            </w:r>
            <w:r w:rsidRPr="00136570">
              <w:rPr>
                <w:rFonts w:ascii="Arial" w:hAnsi="Arial" w:cs="Arial"/>
              </w:rPr>
              <w:t>±</w:t>
            </w:r>
            <w:r w:rsidRPr="00136570">
              <w:rPr>
                <w:rFonts w:ascii="Arial" w:hAnsi="Arial" w:cs="Arial"/>
                <w:color w:val="010205"/>
              </w:rPr>
              <w:t>1.675</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≤50</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≤50</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Iron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6.826</w:t>
            </w:r>
            <w:r w:rsidRPr="00136570">
              <w:rPr>
                <w:rFonts w:ascii="Arial" w:hAnsi="Arial" w:cs="Arial"/>
                <w:sz w:val="20"/>
                <w:szCs w:val="20"/>
              </w:rPr>
              <w:t>±</w:t>
            </w:r>
            <w:r w:rsidRPr="00136570">
              <w:rPr>
                <w:rFonts w:ascii="Arial" w:hAnsi="Arial" w:cs="Arial"/>
                <w:color w:val="010205"/>
                <w:sz w:val="20"/>
                <w:szCs w:val="20"/>
              </w:rPr>
              <w:t>4.414</w:t>
            </w:r>
          </w:p>
        </w:tc>
        <w:tc>
          <w:tcPr>
            <w:tcW w:w="64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8.190</w:t>
            </w:r>
            <w:r w:rsidRPr="00136570">
              <w:rPr>
                <w:rFonts w:ascii="Arial" w:hAnsi="Arial" w:cs="Arial"/>
                <w:sz w:val="20"/>
                <w:szCs w:val="20"/>
              </w:rPr>
              <w:t>±</w:t>
            </w:r>
            <w:r w:rsidRPr="00136570">
              <w:rPr>
                <w:rFonts w:ascii="Arial" w:hAnsi="Arial" w:cs="Arial"/>
                <w:color w:val="010205"/>
                <w:sz w:val="20"/>
                <w:szCs w:val="20"/>
              </w:rPr>
              <w:t>2.517</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7.303</w:t>
            </w:r>
            <w:r w:rsidRPr="00136570">
              <w:rPr>
                <w:rFonts w:ascii="Arial" w:hAnsi="Arial" w:cs="Arial"/>
              </w:rPr>
              <w:t>±</w:t>
            </w:r>
            <w:r w:rsidRPr="00136570">
              <w:rPr>
                <w:rFonts w:ascii="Arial" w:hAnsi="Arial" w:cs="Arial"/>
                <w:color w:val="010205"/>
              </w:rPr>
              <w:t>3.880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9.320</w:t>
            </w:r>
            <w:r w:rsidRPr="00136570">
              <w:rPr>
                <w:rFonts w:ascii="Arial" w:hAnsi="Arial" w:cs="Arial"/>
              </w:rPr>
              <w:t>±</w:t>
            </w:r>
            <w:r w:rsidRPr="00136570">
              <w:rPr>
                <w:rFonts w:ascii="Arial" w:hAnsi="Arial" w:cs="Arial"/>
                <w:color w:val="010205"/>
              </w:rPr>
              <w:t xml:space="preserve"> 9.320</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≤0.3</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≤0.3</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Calcium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4.372</w:t>
            </w:r>
            <w:r w:rsidRPr="00136570">
              <w:rPr>
                <w:rFonts w:ascii="Arial" w:hAnsi="Arial" w:cs="Arial"/>
                <w:sz w:val="20"/>
                <w:szCs w:val="20"/>
              </w:rPr>
              <w:t>±</w:t>
            </w:r>
            <w:r w:rsidRPr="00136570">
              <w:rPr>
                <w:rFonts w:ascii="Arial" w:hAnsi="Arial" w:cs="Arial"/>
                <w:color w:val="010205"/>
                <w:sz w:val="20"/>
                <w:szCs w:val="20"/>
              </w:rPr>
              <w:t>1.872</w:t>
            </w:r>
          </w:p>
        </w:tc>
        <w:tc>
          <w:tcPr>
            <w:tcW w:w="648" w:type="pct"/>
            <w:tcBorders>
              <w:top w:val="nil"/>
              <w:left w:val="nil"/>
              <w:bottom w:val="nil"/>
              <w:right w:val="nil"/>
            </w:tcBorders>
            <w:vAlign w:val="bottom"/>
            <w:hideMark/>
          </w:tcPr>
          <w:p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2.390</w:t>
            </w:r>
            <w:r w:rsidRPr="00136570">
              <w:rPr>
                <w:rFonts w:ascii="Arial" w:hAnsi="Arial" w:cs="Arial"/>
                <w:sz w:val="20"/>
                <w:szCs w:val="20"/>
              </w:rPr>
              <w:t>±</w:t>
            </w:r>
            <w:r w:rsidRPr="00136570">
              <w:rPr>
                <w:rFonts w:ascii="Arial" w:hAnsi="Arial" w:cs="Arial"/>
                <w:color w:val="010205"/>
                <w:sz w:val="20"/>
                <w:szCs w:val="20"/>
              </w:rPr>
              <w:t>0 .301</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2.210</w:t>
            </w:r>
            <w:r w:rsidRPr="00136570">
              <w:rPr>
                <w:rFonts w:ascii="Arial" w:hAnsi="Arial" w:cs="Arial"/>
              </w:rPr>
              <w:t>±</w:t>
            </w:r>
            <w:r w:rsidRPr="00136570">
              <w:rPr>
                <w:rFonts w:ascii="Arial" w:hAnsi="Arial" w:cs="Arial"/>
                <w:color w:val="010205"/>
              </w:rPr>
              <w:t>0.010</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 xml:space="preserve">6.276 </w:t>
            </w:r>
            <w:r w:rsidRPr="00136570">
              <w:rPr>
                <w:rFonts w:ascii="Arial" w:hAnsi="Arial" w:cs="Arial"/>
              </w:rPr>
              <w:t>±</w:t>
            </w:r>
            <w:r w:rsidRPr="00136570">
              <w:rPr>
                <w:rFonts w:ascii="Arial" w:hAnsi="Arial" w:cs="Arial"/>
                <w:color w:val="010205"/>
              </w:rPr>
              <w:t>1.576</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≤75</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≤75</w:t>
            </w:r>
          </w:p>
        </w:tc>
      </w:tr>
      <w:tr w:rsidR="00687AAF" w:rsidRPr="00136570" w:rsidTr="001D7DAE">
        <w:tc>
          <w:tcPr>
            <w:tcW w:w="1430" w:type="pct"/>
            <w:tcBorders>
              <w:top w:val="nil"/>
              <w:left w:val="nil"/>
              <w:bottom w:val="nil"/>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Nickel </w:t>
            </w:r>
            <w:r w:rsidRPr="00FC4C53">
              <w:rPr>
                <w:rFonts w:ascii="Arial" w:hAnsi="Arial" w:cs="Arial"/>
                <w:spacing w:val="-2"/>
                <w:sz w:val="20"/>
                <w:szCs w:val="20"/>
              </w:rPr>
              <w:t>(mg/L)</w:t>
            </w:r>
          </w:p>
        </w:tc>
        <w:tc>
          <w:tcPr>
            <w:tcW w:w="678" w:type="pct"/>
            <w:tcBorders>
              <w:top w:val="nil"/>
              <w:left w:val="nil"/>
              <w:bottom w:val="nil"/>
              <w:right w:val="nil"/>
            </w:tcBorders>
            <w:vAlign w:val="bottom"/>
            <w:hideMark/>
          </w:tcPr>
          <w:p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0.036</w:t>
            </w:r>
            <w:r w:rsidRPr="00136570">
              <w:rPr>
                <w:rFonts w:ascii="Arial" w:hAnsi="Arial" w:cs="Arial"/>
                <w:sz w:val="20"/>
                <w:szCs w:val="20"/>
              </w:rPr>
              <w:t>±</w:t>
            </w:r>
            <w:r w:rsidRPr="00136570">
              <w:rPr>
                <w:rFonts w:ascii="Arial" w:hAnsi="Arial" w:cs="Arial"/>
                <w:color w:val="010205"/>
                <w:sz w:val="20"/>
                <w:szCs w:val="20"/>
              </w:rPr>
              <w:t>0.033</w:t>
            </w:r>
          </w:p>
        </w:tc>
        <w:tc>
          <w:tcPr>
            <w:tcW w:w="648" w:type="pct"/>
            <w:tcBorders>
              <w:top w:val="nil"/>
              <w:left w:val="nil"/>
              <w:bottom w:val="nil"/>
              <w:right w:val="nil"/>
            </w:tcBorders>
            <w:vAlign w:val="bottom"/>
            <w:hideMark/>
          </w:tcPr>
          <w:p w:rsidR="00687AAF" w:rsidRPr="00136570" w:rsidRDefault="00687AAF" w:rsidP="00A72992">
            <w:pPr>
              <w:pStyle w:val="TableParagraph"/>
              <w:spacing w:before="2"/>
              <w:ind w:left="105"/>
              <w:jc w:val="center"/>
              <w:rPr>
                <w:rFonts w:ascii="Arial" w:hAnsi="Arial" w:cs="Arial"/>
                <w:sz w:val="20"/>
                <w:szCs w:val="20"/>
              </w:rPr>
            </w:pPr>
            <w:r w:rsidRPr="00136570">
              <w:rPr>
                <w:rFonts w:ascii="Arial" w:hAnsi="Arial" w:cs="Arial"/>
                <w:color w:val="010205"/>
                <w:sz w:val="20"/>
                <w:szCs w:val="20"/>
              </w:rPr>
              <w:t>0.029</w:t>
            </w:r>
            <w:r w:rsidRPr="00136570">
              <w:rPr>
                <w:rFonts w:ascii="Arial" w:hAnsi="Arial" w:cs="Arial"/>
                <w:sz w:val="20"/>
                <w:szCs w:val="20"/>
              </w:rPr>
              <w:t>±</w:t>
            </w:r>
            <w:r w:rsidRPr="00136570">
              <w:rPr>
                <w:rFonts w:ascii="Arial" w:hAnsi="Arial" w:cs="Arial"/>
                <w:color w:val="010205"/>
                <w:sz w:val="20"/>
                <w:szCs w:val="20"/>
              </w:rPr>
              <w:t>0.016</w:t>
            </w:r>
          </w:p>
        </w:tc>
        <w:tc>
          <w:tcPr>
            <w:tcW w:w="607"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0.028</w:t>
            </w:r>
            <w:r w:rsidRPr="00136570">
              <w:rPr>
                <w:rFonts w:ascii="Arial" w:hAnsi="Arial" w:cs="Arial"/>
              </w:rPr>
              <w:t>±</w:t>
            </w:r>
            <w:r w:rsidRPr="00136570">
              <w:rPr>
                <w:rFonts w:ascii="Arial" w:hAnsi="Arial" w:cs="Arial"/>
                <w:color w:val="010205"/>
              </w:rPr>
              <w:t>0.021</w:t>
            </w:r>
          </w:p>
        </w:tc>
        <w:tc>
          <w:tcPr>
            <w:tcW w:w="629" w:type="pct"/>
            <w:tcBorders>
              <w:top w:val="nil"/>
              <w:left w:val="nil"/>
              <w:bottom w:val="nil"/>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0.021</w:t>
            </w:r>
            <w:r w:rsidRPr="00136570">
              <w:rPr>
                <w:rFonts w:ascii="Arial" w:hAnsi="Arial" w:cs="Arial"/>
              </w:rPr>
              <w:t>±</w:t>
            </w:r>
            <w:r w:rsidRPr="00136570">
              <w:rPr>
                <w:rFonts w:ascii="Arial" w:hAnsi="Arial" w:cs="Arial"/>
                <w:color w:val="010205"/>
              </w:rPr>
              <w:t>0.026</w:t>
            </w:r>
          </w:p>
        </w:tc>
        <w:tc>
          <w:tcPr>
            <w:tcW w:w="532" w:type="pct"/>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≤0.02</w:t>
            </w:r>
          </w:p>
        </w:tc>
        <w:tc>
          <w:tcPr>
            <w:tcW w:w="477" w:type="pct"/>
            <w:gridSpan w:val="2"/>
            <w:tcBorders>
              <w:top w:val="nil"/>
              <w:left w:val="nil"/>
              <w:bottom w:val="nil"/>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≤0.02</w:t>
            </w:r>
          </w:p>
        </w:tc>
      </w:tr>
      <w:tr w:rsidR="00687AAF" w:rsidRPr="00136570" w:rsidTr="001D7DAE">
        <w:tc>
          <w:tcPr>
            <w:tcW w:w="1430" w:type="pct"/>
            <w:tcBorders>
              <w:top w:val="nil"/>
              <w:left w:val="nil"/>
              <w:bottom w:val="single" w:sz="4" w:space="0" w:color="000000" w:themeColor="text1"/>
              <w:right w:val="nil"/>
            </w:tcBorders>
            <w:vAlign w:val="bottom"/>
            <w:hideMark/>
          </w:tcPr>
          <w:p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Cadmium </w:t>
            </w:r>
            <w:r w:rsidRPr="00FC4C53">
              <w:rPr>
                <w:rFonts w:ascii="Arial" w:hAnsi="Arial" w:cs="Arial"/>
                <w:spacing w:val="-2"/>
                <w:sz w:val="20"/>
                <w:szCs w:val="20"/>
              </w:rPr>
              <w:t>(mg/L)</w:t>
            </w:r>
          </w:p>
        </w:tc>
        <w:tc>
          <w:tcPr>
            <w:tcW w:w="678" w:type="pct"/>
            <w:tcBorders>
              <w:top w:val="nil"/>
              <w:left w:val="nil"/>
              <w:bottom w:val="single" w:sz="4" w:space="0" w:color="000000" w:themeColor="text1"/>
              <w:right w:val="nil"/>
            </w:tcBorders>
            <w:vAlign w:val="bottom"/>
            <w:hideMark/>
          </w:tcPr>
          <w:p w:rsidR="00687AAF" w:rsidRPr="00136570" w:rsidRDefault="00687AAF" w:rsidP="00A72992">
            <w:pPr>
              <w:pStyle w:val="TableParagraph"/>
              <w:ind w:left="0"/>
              <w:jc w:val="center"/>
              <w:rPr>
                <w:rFonts w:ascii="Arial" w:hAnsi="Arial" w:cs="Arial"/>
                <w:sz w:val="20"/>
                <w:szCs w:val="20"/>
              </w:rPr>
            </w:pPr>
            <w:r w:rsidRPr="00136570">
              <w:rPr>
                <w:rFonts w:ascii="Arial" w:hAnsi="Arial" w:cs="Arial"/>
                <w:color w:val="010205"/>
                <w:sz w:val="20"/>
                <w:szCs w:val="20"/>
              </w:rPr>
              <w:t>0.229</w:t>
            </w:r>
            <w:r w:rsidRPr="00136570">
              <w:rPr>
                <w:rFonts w:ascii="Arial" w:hAnsi="Arial" w:cs="Arial"/>
                <w:sz w:val="20"/>
                <w:szCs w:val="20"/>
              </w:rPr>
              <w:t>±0</w:t>
            </w:r>
            <w:r w:rsidRPr="00136570">
              <w:rPr>
                <w:rFonts w:ascii="Arial" w:hAnsi="Arial" w:cs="Arial"/>
                <w:color w:val="010205"/>
                <w:sz w:val="20"/>
                <w:szCs w:val="20"/>
              </w:rPr>
              <w:t>.204</w:t>
            </w:r>
          </w:p>
        </w:tc>
        <w:tc>
          <w:tcPr>
            <w:tcW w:w="648" w:type="pct"/>
            <w:tcBorders>
              <w:top w:val="nil"/>
              <w:left w:val="nil"/>
              <w:bottom w:val="single" w:sz="4" w:space="0" w:color="000000" w:themeColor="text1"/>
              <w:right w:val="nil"/>
            </w:tcBorders>
            <w:vAlign w:val="bottom"/>
            <w:hideMark/>
          </w:tcPr>
          <w:p w:rsidR="00687AAF" w:rsidRPr="00136570" w:rsidRDefault="00687AAF" w:rsidP="00A72992">
            <w:pPr>
              <w:pStyle w:val="TableParagraph"/>
              <w:ind w:left="0"/>
              <w:jc w:val="center"/>
              <w:rPr>
                <w:rFonts w:ascii="Arial" w:hAnsi="Arial" w:cs="Arial"/>
                <w:sz w:val="20"/>
                <w:szCs w:val="20"/>
              </w:rPr>
            </w:pPr>
            <w:r w:rsidRPr="00136570">
              <w:rPr>
                <w:rFonts w:ascii="Arial" w:hAnsi="Arial" w:cs="Arial"/>
                <w:color w:val="010205"/>
                <w:sz w:val="20"/>
                <w:szCs w:val="20"/>
              </w:rPr>
              <w:t>0.228</w:t>
            </w:r>
            <w:r w:rsidRPr="00136570">
              <w:rPr>
                <w:rFonts w:ascii="Arial" w:hAnsi="Arial" w:cs="Arial"/>
                <w:sz w:val="20"/>
                <w:szCs w:val="20"/>
              </w:rPr>
              <w:t>±</w:t>
            </w:r>
            <w:r w:rsidRPr="00136570">
              <w:rPr>
                <w:rFonts w:ascii="Arial" w:hAnsi="Arial" w:cs="Arial"/>
                <w:color w:val="010205"/>
                <w:sz w:val="20"/>
                <w:szCs w:val="20"/>
              </w:rPr>
              <w:t>0.203</w:t>
            </w:r>
          </w:p>
        </w:tc>
        <w:tc>
          <w:tcPr>
            <w:tcW w:w="607" w:type="pct"/>
            <w:tcBorders>
              <w:top w:val="nil"/>
              <w:left w:val="nil"/>
              <w:bottom w:val="single" w:sz="4" w:space="0" w:color="auto"/>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0.173</w:t>
            </w:r>
            <w:r w:rsidRPr="00136570">
              <w:rPr>
                <w:rFonts w:ascii="Arial" w:hAnsi="Arial" w:cs="Arial"/>
              </w:rPr>
              <w:t>±</w:t>
            </w:r>
            <w:r w:rsidRPr="00136570">
              <w:rPr>
                <w:rFonts w:ascii="Arial" w:hAnsi="Arial" w:cs="Arial"/>
                <w:color w:val="010205"/>
              </w:rPr>
              <w:t>0.148</w:t>
            </w:r>
          </w:p>
        </w:tc>
        <w:tc>
          <w:tcPr>
            <w:tcW w:w="629" w:type="pct"/>
            <w:tcBorders>
              <w:top w:val="nil"/>
              <w:left w:val="nil"/>
              <w:bottom w:val="single" w:sz="4" w:space="0" w:color="auto"/>
              <w:right w:val="nil"/>
            </w:tcBorders>
            <w:vAlign w:val="bottom"/>
            <w:hideMark/>
          </w:tcPr>
          <w:p w:rsidR="00687AAF" w:rsidRPr="00136570" w:rsidRDefault="00687AAF" w:rsidP="00A72992">
            <w:pPr>
              <w:jc w:val="center"/>
              <w:rPr>
                <w:rFonts w:ascii="Arial" w:hAnsi="Arial" w:cs="Arial"/>
              </w:rPr>
            </w:pPr>
            <w:r w:rsidRPr="00136570">
              <w:rPr>
                <w:rFonts w:ascii="Arial" w:hAnsi="Arial" w:cs="Arial"/>
                <w:color w:val="010205"/>
              </w:rPr>
              <w:t>0.195</w:t>
            </w:r>
            <w:r w:rsidRPr="00136570">
              <w:rPr>
                <w:rFonts w:ascii="Arial" w:hAnsi="Arial" w:cs="Arial"/>
              </w:rPr>
              <w:t>±</w:t>
            </w:r>
            <w:r w:rsidRPr="00136570">
              <w:rPr>
                <w:rFonts w:ascii="Arial" w:hAnsi="Arial" w:cs="Arial"/>
                <w:color w:val="010205"/>
              </w:rPr>
              <w:t>0.178</w:t>
            </w:r>
          </w:p>
        </w:tc>
        <w:tc>
          <w:tcPr>
            <w:tcW w:w="532" w:type="pct"/>
            <w:tcBorders>
              <w:top w:val="nil"/>
              <w:left w:val="nil"/>
              <w:bottom w:val="single" w:sz="4" w:space="0" w:color="auto"/>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≤0.003</w:t>
            </w:r>
          </w:p>
        </w:tc>
        <w:tc>
          <w:tcPr>
            <w:tcW w:w="477" w:type="pct"/>
            <w:gridSpan w:val="2"/>
            <w:tcBorders>
              <w:top w:val="nil"/>
              <w:left w:val="nil"/>
              <w:bottom w:val="single" w:sz="4" w:space="0" w:color="auto"/>
              <w:right w:val="nil"/>
            </w:tcBorders>
            <w:vAlign w:val="bottom"/>
            <w:hideMark/>
          </w:tcPr>
          <w:p w:rsidR="00687AAF" w:rsidRPr="00136570" w:rsidRDefault="00687AAF" w:rsidP="00A72992">
            <w:pPr>
              <w:rPr>
                <w:rFonts w:ascii="Arial" w:hAnsi="Arial" w:cs="Arial"/>
                <w:color w:val="000000"/>
              </w:rPr>
            </w:pPr>
            <w:r w:rsidRPr="00136570">
              <w:rPr>
                <w:rFonts w:ascii="Arial" w:hAnsi="Arial" w:cs="Arial"/>
                <w:color w:val="000000"/>
              </w:rPr>
              <w:t>≤0.003</w:t>
            </w:r>
          </w:p>
        </w:tc>
      </w:tr>
    </w:tbl>
    <w:p w:rsidR="00687AAF" w:rsidRPr="00E053D0" w:rsidRDefault="00687AAF" w:rsidP="00687AAF">
      <w:pPr>
        <w:rPr>
          <w:rFonts w:ascii="Arial" w:hAnsi="Arial" w:cs="Arial"/>
          <w:lang w:val="en-GB" w:eastAsia="en-GB"/>
        </w:rPr>
      </w:pPr>
    </w:p>
    <w:p w:rsidR="00687AAF" w:rsidRDefault="00687AAF" w:rsidP="00687AAF">
      <w:pPr>
        <w:pStyle w:val="Body"/>
        <w:spacing w:after="0"/>
        <w:rPr>
          <w:rFonts w:ascii="Arial" w:hAnsi="Arial" w:cs="Arial"/>
          <w:lang w:val="en-GB" w:eastAsia="en-GB"/>
        </w:rPr>
      </w:pPr>
    </w:p>
    <w:p w:rsidR="00687AAF" w:rsidRDefault="00687AAF" w:rsidP="00687AAF">
      <w:pPr>
        <w:pStyle w:val="Body"/>
        <w:spacing w:after="0"/>
        <w:rPr>
          <w:rFonts w:ascii="Arial" w:hAnsi="Arial" w:cs="Arial"/>
          <w:lang w:val="en-GB" w:eastAsia="en-GB"/>
        </w:rPr>
      </w:pPr>
    </w:p>
    <w:p w:rsidR="00687AAF" w:rsidRDefault="00687AAF" w:rsidP="00687AAF">
      <w:pPr>
        <w:pStyle w:val="Body"/>
        <w:spacing w:after="0"/>
        <w:rPr>
          <w:rFonts w:ascii="Arial" w:hAnsi="Arial" w:cs="Arial"/>
          <w:lang w:val="en-GB" w:eastAsia="en-GB"/>
        </w:rPr>
      </w:pPr>
    </w:p>
    <w:p w:rsidR="00687AAF" w:rsidRDefault="00687AAF" w:rsidP="00687AAF">
      <w:pPr>
        <w:pStyle w:val="Body"/>
        <w:spacing w:after="0"/>
        <w:rPr>
          <w:rFonts w:ascii="Arial" w:hAnsi="Arial" w:cs="Arial"/>
          <w:lang w:val="en-GB" w:eastAsia="en-GB"/>
        </w:rPr>
        <w:sectPr w:rsidR="00687AAF" w:rsidSect="00275BBC">
          <w:pgSz w:w="15840" w:h="12240" w:orient="landscape"/>
          <w:pgMar w:top="2016" w:right="1440" w:bottom="2016" w:left="2016" w:header="720" w:footer="1123" w:gutter="0"/>
          <w:cols w:space="720"/>
          <w:docGrid w:linePitch="272"/>
        </w:sectPr>
      </w:pPr>
    </w:p>
    <w:p w:rsidR="00687AAF" w:rsidRDefault="00687AAF" w:rsidP="00687AAF">
      <w:pPr>
        <w:pStyle w:val="Body"/>
        <w:spacing w:after="0"/>
        <w:rPr>
          <w:rFonts w:ascii="Arial" w:hAnsi="Arial" w:cs="Arial"/>
          <w:lang w:val="en-GB" w:eastAsia="en-GB"/>
        </w:rPr>
      </w:pPr>
    </w:p>
    <w:p w:rsidR="00687AAF" w:rsidRDefault="00687AAF" w:rsidP="00687AAF">
      <w:pPr>
        <w:pStyle w:val="Body"/>
        <w:spacing w:after="0"/>
        <w:rPr>
          <w:rFonts w:ascii="Arial" w:hAnsi="Arial" w:cs="Arial"/>
          <w:lang w:val="en-GB" w:eastAsia="en-GB"/>
        </w:rPr>
      </w:pPr>
    </w:p>
    <w:p w:rsidR="00677D4F" w:rsidRPr="00A72992" w:rsidRDefault="00677D4F" w:rsidP="00A72992">
      <w:pPr>
        <w:jc w:val="both"/>
        <w:rPr>
          <w:rFonts w:ascii="Arial" w:hAnsi="Arial" w:cs="Arial"/>
        </w:rPr>
      </w:pPr>
      <w:r w:rsidRPr="00677D4F">
        <w:rPr>
          <w:rFonts w:ascii="Arial" w:hAnsi="Arial" w:cs="Arial"/>
          <w:lang w:val="en-GB" w:eastAsia="en-GB"/>
        </w:rPr>
        <w:t xml:space="preserve">The water temperature across the four stations varied minimally, ranging from 26.05°C to 26.25°C. This range falls within the recommended limit of ≤30°C for freshwater ecosystems (WHO, 2011). Temperature plays a vital role in the metabolic processes of aquatic plants, influencing growth rates and species composition. The relatively stable temperature across all stations suggests a </w:t>
      </w:r>
      <w:r w:rsidR="001000DD" w:rsidRPr="00677D4F">
        <w:rPr>
          <w:rFonts w:ascii="Arial" w:hAnsi="Arial" w:cs="Arial"/>
          <w:lang w:val="en-GB" w:eastAsia="en-GB"/>
        </w:rPr>
        <w:t>favourable</w:t>
      </w:r>
      <w:r w:rsidRPr="00677D4F">
        <w:rPr>
          <w:rFonts w:ascii="Arial" w:hAnsi="Arial" w:cs="Arial"/>
          <w:lang w:val="en-GB" w:eastAsia="en-GB"/>
        </w:rPr>
        <w:t xml:space="preserve"> environment for tropical </w:t>
      </w:r>
      <w:r w:rsidR="00A90485">
        <w:rPr>
          <w:rFonts w:ascii="Arial" w:hAnsi="Arial" w:cs="Arial"/>
          <w:lang w:val="en-GB" w:eastAsia="en-GB"/>
        </w:rPr>
        <w:t xml:space="preserve">Macrophytes </w:t>
      </w:r>
      <w:r w:rsidRPr="00677D4F">
        <w:rPr>
          <w:rFonts w:ascii="Arial" w:hAnsi="Arial" w:cs="Arial"/>
          <w:lang w:val="en-GB" w:eastAsia="en-GB"/>
        </w:rPr>
        <w:t>, which are adapted to warm conditions</w:t>
      </w:r>
      <w:r w:rsidR="00DD06B6">
        <w:rPr>
          <w:rFonts w:ascii="Arial" w:hAnsi="Arial" w:cs="Arial"/>
          <w:vertAlign w:val="superscript"/>
          <w:lang w:val="en-GB" w:eastAsia="en-GB"/>
        </w:rPr>
        <w:t>42</w:t>
      </w:r>
      <w:r w:rsidRPr="00677D4F">
        <w:rPr>
          <w:rFonts w:ascii="Arial" w:hAnsi="Arial" w:cs="Arial"/>
          <w:lang w:val="en-GB" w:eastAsia="en-GB"/>
        </w:rPr>
        <w:t xml:space="preserve">. Tropical </w:t>
      </w:r>
      <w:r w:rsidR="00A90485">
        <w:rPr>
          <w:rFonts w:ascii="Arial" w:hAnsi="Arial" w:cs="Arial"/>
          <w:lang w:val="en-GB" w:eastAsia="en-GB"/>
        </w:rPr>
        <w:t>macrophyte</w:t>
      </w:r>
      <w:r w:rsidRPr="00677D4F">
        <w:rPr>
          <w:rFonts w:ascii="Arial" w:hAnsi="Arial" w:cs="Arial"/>
          <w:lang w:val="en-GB" w:eastAsia="en-GB"/>
        </w:rPr>
        <w:t xml:space="preserve"> species, such as </w:t>
      </w:r>
      <w:r w:rsidRPr="00677D4F">
        <w:rPr>
          <w:rFonts w:ascii="Arial" w:hAnsi="Arial" w:cs="Arial"/>
          <w:i/>
          <w:iCs/>
          <w:lang w:val="en-GB" w:eastAsia="en-GB"/>
        </w:rPr>
        <w:t>Eichhornia crassipes</w:t>
      </w:r>
      <w:r w:rsidR="00AE2082">
        <w:rPr>
          <w:rFonts w:ascii="Arial" w:hAnsi="Arial" w:cs="Arial"/>
          <w:i/>
          <w:iCs/>
          <w:lang w:val="en-GB" w:eastAsia="en-GB"/>
        </w:rPr>
        <w:t xml:space="preserve"> </w:t>
      </w:r>
      <w:r w:rsidR="00A72992">
        <w:rPr>
          <w:rFonts w:ascii="Arial" w:hAnsi="Arial" w:cs="Arial"/>
          <w:lang w:val="en-GB" w:eastAsia="en-GB"/>
        </w:rPr>
        <w:t xml:space="preserve">and </w:t>
      </w:r>
      <w:r w:rsidR="00AE2082" w:rsidRPr="00AE2082">
        <w:rPr>
          <w:rFonts w:ascii="Arial" w:hAnsi="Arial" w:cs="Arial"/>
          <w:i/>
        </w:rPr>
        <w:t xml:space="preserve">Ipomoea </w:t>
      </w:r>
      <w:r w:rsidR="00A90485">
        <w:rPr>
          <w:rFonts w:ascii="Arial" w:hAnsi="Arial" w:cs="Arial"/>
          <w:i/>
        </w:rPr>
        <w:t xml:space="preserve">aquatica </w:t>
      </w:r>
      <w:r w:rsidRPr="00677D4F">
        <w:rPr>
          <w:rFonts w:ascii="Arial" w:hAnsi="Arial" w:cs="Arial"/>
          <w:lang w:val="en-GB" w:eastAsia="en-GB"/>
        </w:rPr>
        <w:t>are known to exhibit optimal growth in temperatures between 25°C and 30°C, supporting their abundance in such</w:t>
      </w:r>
      <w:r w:rsidR="00E73D87">
        <w:rPr>
          <w:rFonts w:ascii="Arial" w:hAnsi="Arial" w:cs="Arial"/>
          <w:lang w:val="en-GB" w:eastAsia="en-GB"/>
        </w:rPr>
        <w:t xml:space="preserve"> ecosystems</w:t>
      </w:r>
      <w:r w:rsidR="00E73D87">
        <w:rPr>
          <w:rFonts w:ascii="Arial" w:hAnsi="Arial" w:cs="Arial"/>
          <w:vertAlign w:val="superscript"/>
          <w:lang w:val="en-GB" w:eastAsia="en-GB"/>
        </w:rPr>
        <w:t>27</w:t>
      </w:r>
      <w:r w:rsidRPr="00677D4F">
        <w:rPr>
          <w:rFonts w:ascii="Arial" w:hAnsi="Arial" w:cs="Arial"/>
          <w:lang w:val="en-GB" w:eastAsia="en-GB"/>
        </w:rPr>
        <w:t>.The conductivity values, ranging from 34.50 to 35.50 µS/cm, are considerably below the WHO and NESREA limits of 1000 µS/cm. Conductivity is a measure of the water’s ability to conduct electrical current, which depends on the concentration of dissol</w:t>
      </w:r>
      <w:r w:rsidR="00E73D87">
        <w:rPr>
          <w:rFonts w:ascii="Arial" w:hAnsi="Arial" w:cs="Arial"/>
          <w:lang w:val="en-GB" w:eastAsia="en-GB"/>
        </w:rPr>
        <w:t>ved ions</w:t>
      </w:r>
      <w:r w:rsidR="00DD06B6">
        <w:rPr>
          <w:rFonts w:ascii="Arial" w:hAnsi="Arial" w:cs="Arial"/>
          <w:vertAlign w:val="superscript"/>
          <w:lang w:val="en-GB" w:eastAsia="en-GB"/>
        </w:rPr>
        <w:t>40</w:t>
      </w:r>
      <w:r w:rsidRPr="00677D4F">
        <w:rPr>
          <w:rFonts w:ascii="Arial" w:hAnsi="Arial" w:cs="Arial"/>
          <w:lang w:val="en-GB" w:eastAsia="en-GB"/>
        </w:rPr>
        <w:t xml:space="preserve">. The relatively low conductivity suggests that the Eniong River has low ion concentration, characteristic of humic </w:t>
      </w:r>
      <w:r w:rsidR="00E73D87">
        <w:rPr>
          <w:rFonts w:ascii="Arial" w:hAnsi="Arial" w:cs="Arial"/>
          <w:lang w:val="en-GB" w:eastAsia="en-GB"/>
        </w:rPr>
        <w:t>water bodies</w:t>
      </w:r>
      <w:r w:rsidR="00DD06B6">
        <w:rPr>
          <w:rFonts w:ascii="Arial" w:hAnsi="Arial" w:cs="Arial"/>
          <w:vertAlign w:val="superscript"/>
          <w:lang w:val="en-GB" w:eastAsia="en-GB"/>
        </w:rPr>
        <w:t>16</w:t>
      </w:r>
      <w:r w:rsidRPr="00677D4F">
        <w:rPr>
          <w:rFonts w:ascii="Arial" w:hAnsi="Arial" w:cs="Arial"/>
          <w:lang w:val="en-GB" w:eastAsia="en-GB"/>
        </w:rPr>
        <w:t>. The total dissolved solids (TDS) ranged from 16.50 to 18.50 ppt, well below the recommended limit of ≤500 mg/L. Low TDS levels further confirm the oligotro</w:t>
      </w:r>
      <w:r w:rsidR="00AE2082">
        <w:rPr>
          <w:rFonts w:ascii="Arial" w:hAnsi="Arial" w:cs="Arial"/>
          <w:lang w:val="en-GB" w:eastAsia="en-GB"/>
        </w:rPr>
        <w:t>pH</w:t>
      </w:r>
      <w:r w:rsidRPr="00677D4F">
        <w:rPr>
          <w:rFonts w:ascii="Arial" w:hAnsi="Arial" w:cs="Arial"/>
          <w:lang w:val="en-GB" w:eastAsia="en-GB"/>
        </w:rPr>
        <w:t xml:space="preserve">ic nature of the ecosystem, where nutrient availability </w:t>
      </w:r>
      <w:r w:rsidR="00E73D87">
        <w:rPr>
          <w:rFonts w:ascii="Arial" w:hAnsi="Arial" w:cs="Arial"/>
          <w:lang w:val="en-GB" w:eastAsia="en-GB"/>
        </w:rPr>
        <w:t>is limited</w:t>
      </w:r>
      <w:r w:rsidR="00DD06B6">
        <w:rPr>
          <w:rFonts w:ascii="Arial" w:hAnsi="Arial" w:cs="Arial"/>
          <w:vertAlign w:val="superscript"/>
          <w:lang w:val="en-GB" w:eastAsia="en-GB"/>
        </w:rPr>
        <w:t>27</w:t>
      </w:r>
      <w:r w:rsidRPr="00677D4F">
        <w:rPr>
          <w:rFonts w:ascii="Arial" w:hAnsi="Arial" w:cs="Arial"/>
          <w:lang w:val="en-GB" w:eastAsia="en-GB"/>
        </w:rPr>
        <w:t xml:space="preserve">. </w:t>
      </w:r>
      <w:r w:rsidR="001000DD">
        <w:rPr>
          <w:rFonts w:ascii="Arial" w:hAnsi="Arial" w:cs="Arial"/>
          <w:lang w:val="en-GB" w:eastAsia="en-GB"/>
        </w:rPr>
        <w:t xml:space="preserve">Macrophytes </w:t>
      </w:r>
      <w:r w:rsidR="001000DD" w:rsidRPr="00677D4F">
        <w:rPr>
          <w:rFonts w:ascii="Arial" w:hAnsi="Arial" w:cs="Arial"/>
          <w:lang w:val="en-GB" w:eastAsia="en-GB"/>
        </w:rPr>
        <w:t>in</w:t>
      </w:r>
      <w:r w:rsidRPr="00677D4F">
        <w:rPr>
          <w:rFonts w:ascii="Arial" w:hAnsi="Arial" w:cs="Arial"/>
          <w:lang w:val="en-GB" w:eastAsia="en-GB"/>
        </w:rPr>
        <w:t xml:space="preserve"> such environments are often adapted to low-nutrient conditions, displaying efficient nutrient uptake mechanisms</w:t>
      </w:r>
      <w:r w:rsidR="00E73D87">
        <w:rPr>
          <w:rFonts w:ascii="Arial" w:hAnsi="Arial" w:cs="Arial"/>
          <w:vertAlign w:val="superscript"/>
          <w:lang w:val="en-GB" w:eastAsia="en-GB"/>
        </w:rPr>
        <w:t>23</w:t>
      </w:r>
      <w:r w:rsidRPr="00677D4F">
        <w:rPr>
          <w:rFonts w:ascii="Arial" w:hAnsi="Arial" w:cs="Arial"/>
          <w:lang w:val="en-GB" w:eastAsia="en-GB"/>
        </w:rPr>
        <w:t>.</w:t>
      </w:r>
    </w:p>
    <w:p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The concentrations of nitrate (NO</w:t>
      </w:r>
      <w:r w:rsidRPr="00677D4F">
        <w:rPr>
          <w:rFonts w:ascii="Cambria Math" w:hAnsi="Cambria Math" w:cs="Cambria Math"/>
          <w:lang w:val="en-GB" w:eastAsia="en-GB"/>
        </w:rPr>
        <w:t>₃⁻</w:t>
      </w:r>
      <w:r w:rsidRPr="00677D4F">
        <w:rPr>
          <w:rFonts w:ascii="Arial" w:hAnsi="Arial" w:cs="Arial"/>
          <w:lang w:val="en-GB" w:eastAsia="en-GB"/>
        </w:rPr>
        <w:t xml:space="preserve">) and </w:t>
      </w:r>
      <w:r w:rsidR="001000DD">
        <w:rPr>
          <w:rFonts w:ascii="Arial" w:hAnsi="Arial" w:cs="Arial"/>
          <w:lang w:val="en-GB" w:eastAsia="en-GB"/>
        </w:rPr>
        <w:t>phosphate</w:t>
      </w:r>
      <w:r w:rsidRPr="00677D4F">
        <w:rPr>
          <w:rFonts w:ascii="Arial" w:hAnsi="Arial" w:cs="Arial"/>
          <w:lang w:val="en-GB" w:eastAsia="en-GB"/>
        </w:rPr>
        <w:t xml:space="preserve"> (PO</w:t>
      </w:r>
      <w:r w:rsidRPr="00677D4F">
        <w:rPr>
          <w:rFonts w:ascii="Cambria Math" w:hAnsi="Cambria Math" w:cs="Cambria Math"/>
          <w:lang w:val="en-GB" w:eastAsia="en-GB"/>
        </w:rPr>
        <w:t>₄</w:t>
      </w:r>
      <w:r w:rsidRPr="00677D4F">
        <w:rPr>
          <w:rFonts w:ascii="Arial" w:hAnsi="Arial" w:cs="Arial"/>
          <w:lang w:val="en-GB" w:eastAsia="en-GB"/>
        </w:rPr>
        <w:t>³</w:t>
      </w:r>
      <w:r w:rsidRPr="00677D4F">
        <w:rPr>
          <w:rFonts w:ascii="Cambria Math" w:hAnsi="Cambria Math" w:cs="Cambria Math"/>
          <w:lang w:val="en-GB" w:eastAsia="en-GB"/>
        </w:rPr>
        <w:t>⁻</w:t>
      </w:r>
      <w:r w:rsidRPr="00677D4F">
        <w:rPr>
          <w:rFonts w:ascii="Arial" w:hAnsi="Arial" w:cs="Arial"/>
          <w:lang w:val="en-GB" w:eastAsia="en-GB"/>
        </w:rPr>
        <w:t>) are of particular concern in freshwater ecosystems due to their roles in eutro</w:t>
      </w:r>
      <w:r w:rsidR="00AE2082">
        <w:rPr>
          <w:rFonts w:ascii="Arial" w:hAnsi="Arial" w:cs="Arial"/>
          <w:lang w:val="en-GB" w:eastAsia="en-GB"/>
        </w:rPr>
        <w:t>pH</w:t>
      </w:r>
      <w:r w:rsidRPr="00677D4F">
        <w:rPr>
          <w:rFonts w:ascii="Arial" w:hAnsi="Arial" w:cs="Arial"/>
          <w:lang w:val="en-GB" w:eastAsia="en-GB"/>
        </w:rPr>
        <w:t xml:space="preserve">ication and </w:t>
      </w:r>
      <w:r w:rsidR="00A90485">
        <w:rPr>
          <w:rFonts w:ascii="Arial" w:hAnsi="Arial" w:cs="Arial"/>
          <w:lang w:val="en-GB" w:eastAsia="en-GB"/>
        </w:rPr>
        <w:t>macrophyte</w:t>
      </w:r>
      <w:r w:rsidRPr="00677D4F">
        <w:rPr>
          <w:rFonts w:ascii="Arial" w:hAnsi="Arial" w:cs="Arial"/>
          <w:lang w:val="en-GB" w:eastAsia="en-GB"/>
        </w:rPr>
        <w:t xml:space="preserve"> proliferation. Nitrate levels ranged from 81.42 mg/L to 104.89 mg/L, significantly exceeding the WHO and NESREA limits of ≤10 mg/L. Elevated nitrate levels may result from agricultural runoff, domestic waste, or industrial effluents, which are common in the region</w:t>
      </w:r>
      <w:r w:rsidR="00E73D87">
        <w:rPr>
          <w:rFonts w:ascii="Arial" w:hAnsi="Arial" w:cs="Arial"/>
          <w:vertAlign w:val="superscript"/>
          <w:lang w:val="en-GB" w:eastAsia="en-GB"/>
        </w:rPr>
        <w:t>69</w:t>
      </w:r>
      <w:r w:rsidRPr="00677D4F">
        <w:rPr>
          <w:rFonts w:ascii="Arial" w:hAnsi="Arial" w:cs="Arial"/>
          <w:lang w:val="en-GB" w:eastAsia="en-GB"/>
        </w:rPr>
        <w:t xml:space="preserve">. High nitrate concentrations can promote the growth of nutrient-loving </w:t>
      </w:r>
      <w:r w:rsidR="00A90485">
        <w:rPr>
          <w:rFonts w:ascii="Arial" w:hAnsi="Arial" w:cs="Arial"/>
          <w:lang w:val="en-GB" w:eastAsia="en-GB"/>
        </w:rPr>
        <w:t xml:space="preserve">Macrophytes </w:t>
      </w:r>
      <w:r w:rsidRPr="00677D4F">
        <w:rPr>
          <w:rFonts w:ascii="Arial" w:hAnsi="Arial" w:cs="Arial"/>
          <w:lang w:val="en-GB" w:eastAsia="en-GB"/>
        </w:rPr>
        <w:t xml:space="preserve">, such as </w:t>
      </w:r>
      <w:r w:rsidRPr="00677D4F">
        <w:rPr>
          <w:rFonts w:ascii="Arial" w:hAnsi="Arial" w:cs="Arial"/>
          <w:i/>
          <w:iCs/>
          <w:lang w:val="en-GB" w:eastAsia="en-GB"/>
        </w:rPr>
        <w:t>Eichhornia crassipes</w:t>
      </w:r>
      <w:r w:rsidRPr="00677D4F">
        <w:rPr>
          <w:rFonts w:ascii="Arial" w:hAnsi="Arial" w:cs="Arial"/>
          <w:lang w:val="en-GB" w:eastAsia="en-GB"/>
        </w:rPr>
        <w:t xml:space="preserve"> (water hyacinth), which can outcompete native species and alter the ecosystem's structure</w:t>
      </w:r>
      <w:r w:rsidR="00DD06B6">
        <w:rPr>
          <w:rFonts w:ascii="Arial" w:hAnsi="Arial" w:cs="Arial"/>
          <w:vertAlign w:val="superscript"/>
          <w:lang w:val="en-GB" w:eastAsia="en-GB"/>
        </w:rPr>
        <w:t>20</w:t>
      </w:r>
      <w:r w:rsidRPr="00677D4F">
        <w:rPr>
          <w:rFonts w:ascii="Arial" w:hAnsi="Arial" w:cs="Arial"/>
          <w:lang w:val="en-GB" w:eastAsia="en-GB"/>
        </w:rPr>
        <w:t>.</w:t>
      </w:r>
    </w:p>
    <w:p w:rsidR="00677D4F" w:rsidRPr="00677D4F" w:rsidRDefault="001000DD" w:rsidP="00677D4F">
      <w:pPr>
        <w:tabs>
          <w:tab w:val="left" w:pos="1080"/>
        </w:tabs>
        <w:jc w:val="both"/>
        <w:rPr>
          <w:rFonts w:ascii="Arial" w:hAnsi="Arial" w:cs="Arial"/>
          <w:lang w:val="en-GB" w:eastAsia="en-GB"/>
        </w:rPr>
      </w:pPr>
      <w:r>
        <w:rPr>
          <w:rFonts w:ascii="Arial" w:hAnsi="Arial" w:cs="Arial"/>
          <w:lang w:val="en-GB" w:eastAsia="en-GB"/>
        </w:rPr>
        <w:t>Phosphate</w:t>
      </w:r>
      <w:r w:rsidR="00677D4F" w:rsidRPr="00677D4F">
        <w:rPr>
          <w:rFonts w:ascii="Arial" w:hAnsi="Arial" w:cs="Arial"/>
          <w:lang w:val="en-GB" w:eastAsia="en-GB"/>
        </w:rPr>
        <w:t xml:space="preserve"> levels ranged from 0.76 mg/L to 1.32 mg/L, exceeding the WHO limit of ≤0.5 mg/L. </w:t>
      </w:r>
      <w:r>
        <w:rPr>
          <w:rFonts w:ascii="Arial" w:hAnsi="Arial" w:cs="Arial"/>
          <w:lang w:val="en-GB" w:eastAsia="en-GB"/>
        </w:rPr>
        <w:t>Phosphate</w:t>
      </w:r>
      <w:r w:rsidR="00677D4F" w:rsidRPr="00677D4F">
        <w:rPr>
          <w:rFonts w:ascii="Arial" w:hAnsi="Arial" w:cs="Arial"/>
          <w:lang w:val="en-GB" w:eastAsia="en-GB"/>
        </w:rPr>
        <w:t xml:space="preserve">s are often limiting nutrients in freshwater ecosystems, and their excess can lead to algal blooms and shifts in </w:t>
      </w:r>
      <w:r w:rsidR="00A90485">
        <w:rPr>
          <w:rFonts w:ascii="Arial" w:hAnsi="Arial" w:cs="Arial"/>
          <w:lang w:val="en-GB" w:eastAsia="en-GB"/>
        </w:rPr>
        <w:t>macrophyte</w:t>
      </w:r>
      <w:r w:rsidR="00677D4F" w:rsidRPr="00677D4F">
        <w:rPr>
          <w:rFonts w:ascii="Arial" w:hAnsi="Arial" w:cs="Arial"/>
          <w:lang w:val="en-GB" w:eastAsia="en-GB"/>
        </w:rPr>
        <w:t xml:space="preserve"> community structure</w:t>
      </w:r>
      <w:r w:rsidR="00DD06B6">
        <w:rPr>
          <w:rFonts w:ascii="Arial" w:hAnsi="Arial" w:cs="Arial"/>
          <w:vertAlign w:val="superscript"/>
          <w:lang w:val="en-GB" w:eastAsia="en-GB"/>
        </w:rPr>
        <w:t>50</w:t>
      </w:r>
      <w:r w:rsidR="00677D4F" w:rsidRPr="00677D4F">
        <w:rPr>
          <w:rFonts w:ascii="Arial" w:hAnsi="Arial" w:cs="Arial"/>
          <w:lang w:val="en-GB" w:eastAsia="en-GB"/>
        </w:rPr>
        <w:t xml:space="preserve">. </w:t>
      </w:r>
      <w:r>
        <w:rPr>
          <w:rFonts w:ascii="Arial" w:hAnsi="Arial" w:cs="Arial"/>
          <w:lang w:val="en-GB" w:eastAsia="en-GB"/>
        </w:rPr>
        <w:t>Phosphorus</w:t>
      </w:r>
      <w:r w:rsidR="00677D4F" w:rsidRPr="00677D4F">
        <w:rPr>
          <w:rFonts w:ascii="Arial" w:hAnsi="Arial" w:cs="Arial"/>
          <w:lang w:val="en-GB" w:eastAsia="en-GB"/>
        </w:rPr>
        <w:t xml:space="preserve"> enrichment in tropical freshwater ecosystems has been associated with the dominance of fast-growing, invasive species that can reduce biodiversity by suppressing native </w:t>
      </w:r>
      <w:r w:rsidR="00A90485">
        <w:rPr>
          <w:rFonts w:ascii="Arial" w:hAnsi="Arial" w:cs="Arial"/>
          <w:lang w:val="en-GB" w:eastAsia="en-GB"/>
        </w:rPr>
        <w:t xml:space="preserve">Macrophytes </w:t>
      </w:r>
      <w:r w:rsidR="00E73D87">
        <w:rPr>
          <w:rFonts w:ascii="Arial" w:hAnsi="Arial" w:cs="Arial"/>
          <w:vertAlign w:val="superscript"/>
          <w:lang w:val="en-GB" w:eastAsia="en-GB"/>
        </w:rPr>
        <w:t>1</w:t>
      </w:r>
      <w:r w:rsidR="00DD06B6">
        <w:rPr>
          <w:rFonts w:ascii="Arial" w:hAnsi="Arial" w:cs="Arial"/>
          <w:vertAlign w:val="superscript"/>
          <w:lang w:val="en-GB" w:eastAsia="en-GB"/>
        </w:rPr>
        <w:t>4</w:t>
      </w:r>
      <w:r w:rsidR="00677D4F" w:rsidRPr="00677D4F">
        <w:rPr>
          <w:rFonts w:ascii="Arial" w:hAnsi="Arial" w:cs="Arial"/>
          <w:lang w:val="en-GB" w:eastAsia="en-GB"/>
        </w:rPr>
        <w:t xml:space="preserve">. In the Eniong River, elevated </w:t>
      </w:r>
      <w:r>
        <w:rPr>
          <w:rFonts w:ascii="Arial" w:hAnsi="Arial" w:cs="Arial"/>
          <w:lang w:val="en-GB" w:eastAsia="en-GB"/>
        </w:rPr>
        <w:t>phosphate</w:t>
      </w:r>
      <w:r w:rsidR="00677D4F" w:rsidRPr="00677D4F">
        <w:rPr>
          <w:rFonts w:ascii="Arial" w:hAnsi="Arial" w:cs="Arial"/>
          <w:lang w:val="en-GB" w:eastAsia="en-GB"/>
        </w:rPr>
        <w:t xml:space="preserve"> levels may drive the proliferation of species like </w:t>
      </w:r>
      <w:r w:rsidR="00677D4F" w:rsidRPr="00677D4F">
        <w:rPr>
          <w:rFonts w:ascii="Arial" w:hAnsi="Arial" w:cs="Arial"/>
          <w:i/>
          <w:iCs/>
          <w:lang w:val="en-GB" w:eastAsia="en-GB"/>
        </w:rPr>
        <w:t>Pistia stratiotes</w:t>
      </w:r>
      <w:r w:rsidR="00677D4F" w:rsidRPr="00677D4F">
        <w:rPr>
          <w:rFonts w:ascii="Arial" w:hAnsi="Arial" w:cs="Arial"/>
          <w:lang w:val="en-GB" w:eastAsia="en-GB"/>
        </w:rPr>
        <w:t xml:space="preserve"> and </w:t>
      </w:r>
      <w:r w:rsidR="00271D51" w:rsidRPr="00271D51">
        <w:rPr>
          <w:rFonts w:ascii="Arial" w:hAnsi="Arial" w:cs="Arial"/>
          <w:i/>
        </w:rPr>
        <w:t>Ludwigia palustris</w:t>
      </w:r>
      <w:r w:rsidR="00677D4F" w:rsidRPr="00271D51">
        <w:rPr>
          <w:rFonts w:ascii="Arial" w:hAnsi="Arial" w:cs="Arial"/>
          <w:lang w:val="en-GB" w:eastAsia="en-GB"/>
        </w:rPr>
        <w:t>, known</w:t>
      </w:r>
      <w:r w:rsidR="00677D4F" w:rsidRPr="00677D4F">
        <w:rPr>
          <w:rFonts w:ascii="Arial" w:hAnsi="Arial" w:cs="Arial"/>
          <w:lang w:val="en-GB" w:eastAsia="en-GB"/>
        </w:rPr>
        <w:t xml:space="preserve"> for their high </w:t>
      </w:r>
      <w:r>
        <w:rPr>
          <w:rFonts w:ascii="Arial" w:hAnsi="Arial" w:cs="Arial"/>
          <w:lang w:val="en-GB" w:eastAsia="en-GB"/>
        </w:rPr>
        <w:t>phosphate</w:t>
      </w:r>
      <w:r w:rsidR="00677D4F" w:rsidRPr="00677D4F">
        <w:rPr>
          <w:rFonts w:ascii="Arial" w:hAnsi="Arial" w:cs="Arial"/>
          <w:lang w:val="en-GB" w:eastAsia="en-GB"/>
        </w:rPr>
        <w:t xml:space="preserve"> uptake</w:t>
      </w:r>
      <w:r w:rsidR="00E73D87">
        <w:rPr>
          <w:rFonts w:ascii="Arial" w:hAnsi="Arial" w:cs="Arial"/>
          <w:lang w:val="en-GB" w:eastAsia="en-GB"/>
        </w:rPr>
        <w:t xml:space="preserve"> efficiency</w:t>
      </w:r>
      <w:r w:rsidR="00DD06B6">
        <w:rPr>
          <w:rFonts w:ascii="Arial" w:hAnsi="Arial" w:cs="Arial"/>
          <w:vertAlign w:val="superscript"/>
          <w:lang w:val="en-GB" w:eastAsia="en-GB"/>
        </w:rPr>
        <w:t>70</w:t>
      </w:r>
      <w:r w:rsidR="00677D4F" w:rsidRPr="00677D4F">
        <w:rPr>
          <w:rFonts w:ascii="Arial" w:hAnsi="Arial" w:cs="Arial"/>
          <w:lang w:val="en-GB" w:eastAsia="en-GB"/>
        </w:rPr>
        <w:t>.</w:t>
      </w:r>
    </w:p>
    <w:p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 xml:space="preserve">The presence of heavy metals such as lead, chromium, and cadmium in the Eniong River raises concerns about water quality and </w:t>
      </w:r>
      <w:r w:rsidR="00A90485">
        <w:rPr>
          <w:rFonts w:ascii="Arial" w:hAnsi="Arial" w:cs="Arial"/>
          <w:lang w:val="en-GB" w:eastAsia="en-GB"/>
        </w:rPr>
        <w:t>macrophyte</w:t>
      </w:r>
      <w:r w:rsidRPr="00677D4F">
        <w:rPr>
          <w:rFonts w:ascii="Arial" w:hAnsi="Arial" w:cs="Arial"/>
          <w:lang w:val="en-GB" w:eastAsia="en-GB"/>
        </w:rPr>
        <w:t xml:space="preserve"> health. Lead (Pb) concentrations ranged from 0.192 mg/L to 0.246 mg/L, well above the WHO and NESREA limits of ≤0.01 mg/L. Heavy metal contamination can result from industrial discharge or atmos</w:t>
      </w:r>
      <w:r w:rsidR="00AE2082">
        <w:rPr>
          <w:rFonts w:ascii="Arial" w:hAnsi="Arial" w:cs="Arial"/>
          <w:lang w:val="en-GB" w:eastAsia="en-GB"/>
        </w:rPr>
        <w:t>pH</w:t>
      </w:r>
      <w:r w:rsidRPr="00677D4F">
        <w:rPr>
          <w:rFonts w:ascii="Arial" w:hAnsi="Arial" w:cs="Arial"/>
          <w:lang w:val="en-GB" w:eastAsia="en-GB"/>
        </w:rPr>
        <w:t>eric deposition, with significant implications for both aquatic plants and anima</w:t>
      </w:r>
      <w:r w:rsidR="00E73D87">
        <w:rPr>
          <w:rFonts w:ascii="Arial" w:hAnsi="Arial" w:cs="Arial"/>
          <w:lang w:val="en-GB" w:eastAsia="en-GB"/>
        </w:rPr>
        <w:t>ls</w:t>
      </w:r>
      <w:r w:rsidR="00E73D87">
        <w:rPr>
          <w:rFonts w:ascii="Arial" w:hAnsi="Arial" w:cs="Arial"/>
          <w:vertAlign w:val="superscript"/>
          <w:lang w:val="en-GB" w:eastAsia="en-GB"/>
        </w:rPr>
        <w:t>2</w:t>
      </w:r>
      <w:r w:rsidRPr="00677D4F">
        <w:rPr>
          <w:rFonts w:ascii="Arial" w:hAnsi="Arial" w:cs="Arial"/>
          <w:lang w:val="en-GB" w:eastAsia="en-GB"/>
        </w:rPr>
        <w:t xml:space="preserve">. </w:t>
      </w:r>
      <w:r w:rsidR="00A90485">
        <w:rPr>
          <w:rFonts w:ascii="Arial" w:hAnsi="Arial" w:cs="Arial"/>
          <w:lang w:val="en-GB" w:eastAsia="en-GB"/>
        </w:rPr>
        <w:t xml:space="preserve">Macrophytes </w:t>
      </w:r>
      <w:r w:rsidRPr="00677D4F">
        <w:rPr>
          <w:rFonts w:ascii="Arial" w:hAnsi="Arial" w:cs="Arial"/>
          <w:lang w:val="en-GB" w:eastAsia="en-GB"/>
        </w:rPr>
        <w:t xml:space="preserve">, such as </w:t>
      </w:r>
      <w:r w:rsidR="00A90485" w:rsidRPr="00A90485">
        <w:rPr>
          <w:rFonts w:ascii="Arial" w:hAnsi="Arial" w:cs="Arial"/>
          <w:i/>
          <w:iCs/>
          <w:lang w:val="en-GB" w:eastAsia="en-GB"/>
        </w:rPr>
        <w:t>Ceratophyllum</w:t>
      </w:r>
      <w:r w:rsidRPr="00677D4F">
        <w:rPr>
          <w:rFonts w:ascii="Arial" w:hAnsi="Arial" w:cs="Arial"/>
          <w:i/>
          <w:iCs/>
          <w:lang w:val="en-GB" w:eastAsia="en-GB"/>
        </w:rPr>
        <w:t xml:space="preserve"> demersum</w:t>
      </w:r>
      <w:r w:rsidRPr="00677D4F">
        <w:rPr>
          <w:rFonts w:ascii="Arial" w:hAnsi="Arial" w:cs="Arial"/>
          <w:lang w:val="en-GB" w:eastAsia="en-GB"/>
        </w:rPr>
        <w:t>, are known for their capacity to bioaccumulate heavy metals, thus playing a role in bio</w:t>
      </w:r>
      <w:r w:rsidR="00E73D87">
        <w:rPr>
          <w:rFonts w:ascii="Arial" w:hAnsi="Arial" w:cs="Arial"/>
          <w:lang w:val="en-GB" w:eastAsia="en-GB"/>
        </w:rPr>
        <w:t>remediation</w:t>
      </w:r>
      <w:r w:rsidR="00E73D87">
        <w:rPr>
          <w:rFonts w:ascii="Arial" w:hAnsi="Arial" w:cs="Arial"/>
          <w:vertAlign w:val="superscript"/>
          <w:lang w:val="en-GB" w:eastAsia="en-GB"/>
        </w:rPr>
        <w:t>6</w:t>
      </w:r>
      <w:r w:rsidRPr="00677D4F">
        <w:rPr>
          <w:rFonts w:ascii="Arial" w:hAnsi="Arial" w:cs="Arial"/>
          <w:lang w:val="en-GB" w:eastAsia="en-GB"/>
        </w:rPr>
        <w:t xml:space="preserve">. However, excessive heavy metal concentrations can inhibit plant growth and reduce species diversity, particularly in sensitive </w:t>
      </w:r>
      <w:r w:rsidR="00A90485">
        <w:rPr>
          <w:rFonts w:ascii="Arial" w:hAnsi="Arial" w:cs="Arial"/>
          <w:lang w:val="en-GB" w:eastAsia="en-GB"/>
        </w:rPr>
        <w:t>macrophyte</w:t>
      </w:r>
      <w:r w:rsidR="00642C81">
        <w:rPr>
          <w:rFonts w:ascii="Arial" w:hAnsi="Arial" w:cs="Arial"/>
          <w:lang w:val="en-GB" w:eastAsia="en-GB"/>
        </w:rPr>
        <w:t xml:space="preserve"> species</w:t>
      </w:r>
      <w:r w:rsidR="00CB48B8">
        <w:rPr>
          <w:rFonts w:ascii="Arial" w:hAnsi="Arial" w:cs="Arial"/>
          <w:vertAlign w:val="superscript"/>
          <w:lang w:val="en-GB" w:eastAsia="en-GB"/>
        </w:rPr>
        <w:t>6</w:t>
      </w:r>
      <w:r w:rsidRPr="00677D4F">
        <w:rPr>
          <w:rFonts w:ascii="Arial" w:hAnsi="Arial" w:cs="Arial"/>
          <w:lang w:val="en-GB" w:eastAsia="en-GB"/>
        </w:rPr>
        <w:t>.</w:t>
      </w:r>
    </w:p>
    <w:p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 xml:space="preserve">Chromium (Cr) levels, ranging from 0.061 mg/L to 0.174 mg/L, also exceeded the permissible limits of ≤0.05 mg/L. Chromium can be toxic to </w:t>
      </w:r>
      <w:r w:rsidR="00A90485">
        <w:rPr>
          <w:rFonts w:ascii="Arial" w:hAnsi="Arial" w:cs="Arial"/>
          <w:lang w:val="en-GB" w:eastAsia="en-GB"/>
        </w:rPr>
        <w:t xml:space="preserve">Macrophytes </w:t>
      </w:r>
      <w:r w:rsidRPr="00677D4F">
        <w:rPr>
          <w:rFonts w:ascii="Arial" w:hAnsi="Arial" w:cs="Arial"/>
          <w:lang w:val="en-GB" w:eastAsia="en-GB"/>
        </w:rPr>
        <w:t xml:space="preserve">, leading to oxidative stress and reduced </w:t>
      </w:r>
      <w:r w:rsidR="001000DD">
        <w:rPr>
          <w:rFonts w:ascii="Arial" w:hAnsi="Arial" w:cs="Arial"/>
          <w:lang w:val="en-GB" w:eastAsia="en-GB"/>
        </w:rPr>
        <w:t>ph</w:t>
      </w:r>
      <w:r w:rsidRPr="00677D4F">
        <w:rPr>
          <w:rFonts w:ascii="Arial" w:hAnsi="Arial" w:cs="Arial"/>
          <w:lang w:val="en-GB" w:eastAsia="en-GB"/>
        </w:rPr>
        <w:t>otosynthetic activity</w:t>
      </w:r>
      <w:r w:rsidR="00CB48B8">
        <w:rPr>
          <w:rFonts w:ascii="Arial" w:hAnsi="Arial" w:cs="Arial"/>
          <w:vertAlign w:val="superscript"/>
          <w:lang w:val="en-GB" w:eastAsia="en-GB"/>
        </w:rPr>
        <w:t>43</w:t>
      </w:r>
      <w:r w:rsidRPr="00677D4F">
        <w:rPr>
          <w:rFonts w:ascii="Arial" w:hAnsi="Arial" w:cs="Arial"/>
          <w:lang w:val="en-GB" w:eastAsia="en-GB"/>
        </w:rPr>
        <w:t xml:space="preserve">. Cadmium (Cd) levels, ranging from 0.173 mg/L to 0.229 mg/L, were similarly higher than the recommended threshold of ≤0.003 mg/L. </w:t>
      </w:r>
      <w:r w:rsidR="009B3C42">
        <w:rPr>
          <w:rFonts w:ascii="Arial" w:hAnsi="Arial" w:cs="Arial"/>
          <w:lang w:val="en-GB" w:eastAsia="en-GB"/>
        </w:rPr>
        <w:t xml:space="preserve">Macrophytes </w:t>
      </w:r>
      <w:r w:rsidR="009B3C42" w:rsidRPr="00677D4F">
        <w:rPr>
          <w:rFonts w:ascii="Arial" w:hAnsi="Arial" w:cs="Arial"/>
          <w:lang w:val="en-GB" w:eastAsia="en-GB"/>
        </w:rPr>
        <w:t>exposed</w:t>
      </w:r>
      <w:r w:rsidRPr="00677D4F">
        <w:rPr>
          <w:rFonts w:ascii="Arial" w:hAnsi="Arial" w:cs="Arial"/>
          <w:lang w:val="en-GB" w:eastAsia="en-GB"/>
        </w:rPr>
        <w:t xml:space="preserve"> to cadmium may experience stunted growth and reduced biomass production, affecting the overall structure and composition of the </w:t>
      </w:r>
      <w:r w:rsidR="00A90485">
        <w:rPr>
          <w:rFonts w:ascii="Arial" w:hAnsi="Arial" w:cs="Arial"/>
          <w:lang w:val="en-GB" w:eastAsia="en-GB"/>
        </w:rPr>
        <w:t>macrophyte</w:t>
      </w:r>
      <w:r w:rsidR="00642C81">
        <w:rPr>
          <w:rFonts w:ascii="Arial" w:hAnsi="Arial" w:cs="Arial"/>
          <w:lang w:val="en-GB" w:eastAsia="en-GB"/>
        </w:rPr>
        <w:t xml:space="preserve"> community</w:t>
      </w:r>
      <w:r w:rsidR="00CB48B8">
        <w:rPr>
          <w:rFonts w:ascii="Arial" w:hAnsi="Arial" w:cs="Arial"/>
          <w:vertAlign w:val="superscript"/>
          <w:lang w:val="en-GB" w:eastAsia="en-GB"/>
        </w:rPr>
        <w:t>2</w:t>
      </w:r>
      <w:r w:rsidRPr="00677D4F">
        <w:rPr>
          <w:rFonts w:ascii="Arial" w:hAnsi="Arial" w:cs="Arial"/>
          <w:lang w:val="en-GB" w:eastAsia="en-GB"/>
        </w:rPr>
        <w:t>.</w:t>
      </w:r>
    </w:p>
    <w:p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Dissolved oxygen (DO) levels across all stations were notably high, ranging from 13.10 mg/L to 16.00 mg/L, far exceeding the WHO and NESREA limits of ≥5 mg/L. High DO levels are essential for sustaining aquatic life and indicate good water aeration</w:t>
      </w:r>
      <w:r w:rsidR="00CB48B8">
        <w:rPr>
          <w:rFonts w:ascii="Arial" w:hAnsi="Arial" w:cs="Arial"/>
          <w:vertAlign w:val="superscript"/>
          <w:lang w:val="en-GB" w:eastAsia="en-GB"/>
        </w:rPr>
        <w:t>52</w:t>
      </w:r>
      <w:r w:rsidRPr="00677D4F">
        <w:rPr>
          <w:rFonts w:ascii="Arial" w:hAnsi="Arial" w:cs="Arial"/>
          <w:lang w:val="en-GB" w:eastAsia="en-GB"/>
        </w:rPr>
        <w:t xml:space="preserve">. However, such </w:t>
      </w:r>
      <w:r w:rsidRPr="00677D4F">
        <w:rPr>
          <w:rFonts w:ascii="Arial" w:hAnsi="Arial" w:cs="Arial"/>
          <w:lang w:val="en-GB" w:eastAsia="en-GB"/>
        </w:rPr>
        <w:lastRenderedPageBreak/>
        <w:t>elevated DO levels may also suggest low organic matter decomposition, which is typical in humic water bodies with slow nutrient cycling</w:t>
      </w:r>
      <w:r w:rsidR="00642C81">
        <w:rPr>
          <w:rFonts w:ascii="Arial" w:hAnsi="Arial" w:cs="Arial"/>
          <w:vertAlign w:val="superscript"/>
          <w:lang w:val="en-GB" w:eastAsia="en-GB"/>
        </w:rPr>
        <w:t>3</w:t>
      </w:r>
      <w:r w:rsidR="00CB48B8">
        <w:rPr>
          <w:rFonts w:ascii="Arial" w:hAnsi="Arial" w:cs="Arial"/>
          <w:vertAlign w:val="superscript"/>
          <w:lang w:val="en-GB" w:eastAsia="en-GB"/>
        </w:rPr>
        <w:t>5</w:t>
      </w:r>
      <w:r w:rsidRPr="00677D4F">
        <w:rPr>
          <w:rFonts w:ascii="Arial" w:hAnsi="Arial" w:cs="Arial"/>
          <w:lang w:val="en-GB" w:eastAsia="en-GB"/>
        </w:rPr>
        <w:t>.</w:t>
      </w:r>
    </w:p>
    <w:p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Biological oxygen demand (BOD) values, ranging from 0.55 mg/L to 2.21 mg/L, were below the permissible limit of ≤3 mg/L, indicating low levels of organic pollution. Low BOD is characteristic of oligotro</w:t>
      </w:r>
      <w:r w:rsidR="009B3C42">
        <w:rPr>
          <w:rFonts w:ascii="Arial" w:hAnsi="Arial" w:cs="Arial"/>
          <w:lang w:val="en-GB" w:eastAsia="en-GB"/>
        </w:rPr>
        <w:t>ph</w:t>
      </w:r>
      <w:r w:rsidRPr="00677D4F">
        <w:rPr>
          <w:rFonts w:ascii="Arial" w:hAnsi="Arial" w:cs="Arial"/>
          <w:lang w:val="en-GB" w:eastAsia="en-GB"/>
        </w:rPr>
        <w:t>ic environments with minimal organic w</w:t>
      </w:r>
      <w:r w:rsidR="00642C81">
        <w:rPr>
          <w:rFonts w:ascii="Arial" w:hAnsi="Arial" w:cs="Arial"/>
          <w:lang w:val="en-GB" w:eastAsia="en-GB"/>
        </w:rPr>
        <w:t>aste input</w:t>
      </w:r>
      <w:r w:rsidR="00CB48B8">
        <w:rPr>
          <w:rFonts w:ascii="Arial" w:hAnsi="Arial" w:cs="Arial"/>
          <w:vertAlign w:val="superscript"/>
          <w:lang w:val="en-GB" w:eastAsia="en-GB"/>
        </w:rPr>
        <w:t>28</w:t>
      </w:r>
      <w:r w:rsidRPr="00677D4F">
        <w:rPr>
          <w:rFonts w:ascii="Arial" w:hAnsi="Arial" w:cs="Arial"/>
          <w:lang w:val="en-GB" w:eastAsia="en-GB"/>
        </w:rPr>
        <w:t xml:space="preserve">. The combination of high DO and low BOD suggests a relatively healthy ecosystem, although the presence of elevated nutrients and heavy metals may pose long-term risks to </w:t>
      </w:r>
      <w:r w:rsidR="00A90485">
        <w:rPr>
          <w:rFonts w:ascii="Arial" w:hAnsi="Arial" w:cs="Arial"/>
          <w:lang w:val="en-GB" w:eastAsia="en-GB"/>
        </w:rPr>
        <w:t>macrophyte</w:t>
      </w:r>
      <w:r w:rsidRPr="00677D4F">
        <w:rPr>
          <w:rFonts w:ascii="Arial" w:hAnsi="Arial" w:cs="Arial"/>
          <w:lang w:val="en-GB" w:eastAsia="en-GB"/>
        </w:rPr>
        <w:t xml:space="preserve"> diversity.</w:t>
      </w:r>
    </w:p>
    <w:p w:rsidR="00687AAF" w:rsidRDefault="00687AAF" w:rsidP="00687AAF">
      <w:pPr>
        <w:tabs>
          <w:tab w:val="left" w:pos="1080"/>
        </w:tabs>
        <w:jc w:val="both"/>
        <w:rPr>
          <w:rFonts w:ascii="Arial" w:hAnsi="Arial"/>
          <w:b/>
        </w:rPr>
      </w:pPr>
    </w:p>
    <w:p w:rsidR="00687AAF" w:rsidRDefault="00687AAF" w:rsidP="00687AAF">
      <w:pPr>
        <w:tabs>
          <w:tab w:val="left" w:pos="1080"/>
        </w:tabs>
        <w:jc w:val="both"/>
        <w:rPr>
          <w:rFonts w:ascii="Arial" w:hAnsi="Arial"/>
          <w:b/>
        </w:rPr>
      </w:pPr>
    </w:p>
    <w:p w:rsidR="00687AAF" w:rsidRDefault="00687AAF" w:rsidP="00687AAF">
      <w:pPr>
        <w:tabs>
          <w:tab w:val="left" w:pos="1080"/>
        </w:tabs>
        <w:jc w:val="both"/>
        <w:rPr>
          <w:rFonts w:ascii="Arial" w:hAnsi="Arial"/>
          <w:b/>
        </w:rPr>
      </w:pPr>
    </w:p>
    <w:p w:rsidR="00687AAF" w:rsidRDefault="00687AAF" w:rsidP="00687AAF">
      <w:pPr>
        <w:tabs>
          <w:tab w:val="left" w:pos="1080"/>
        </w:tabs>
        <w:jc w:val="both"/>
        <w:rPr>
          <w:rFonts w:ascii="Arial" w:hAnsi="Arial"/>
          <w:b/>
        </w:rPr>
      </w:pPr>
    </w:p>
    <w:p w:rsidR="00687AAF" w:rsidRDefault="00687AAF" w:rsidP="00687AAF">
      <w:pPr>
        <w:tabs>
          <w:tab w:val="left" w:pos="1080"/>
        </w:tabs>
        <w:jc w:val="both"/>
        <w:rPr>
          <w:rFonts w:ascii="Arial" w:hAnsi="Arial"/>
          <w:b/>
        </w:rPr>
      </w:pPr>
    </w:p>
    <w:p w:rsidR="00687AAF" w:rsidRPr="00DD2E24" w:rsidRDefault="00687AAF" w:rsidP="00687AAF">
      <w:pPr>
        <w:spacing w:line="480" w:lineRule="auto"/>
        <w:rPr>
          <w:rFonts w:ascii="Arial" w:hAnsi="Arial" w:cs="Arial"/>
          <w:b/>
        </w:rPr>
      </w:pPr>
      <w:r w:rsidRPr="00DD2E24">
        <w:rPr>
          <w:rFonts w:ascii="Arial" w:hAnsi="Arial" w:cs="Arial"/>
          <w:b/>
        </w:rPr>
        <w:t xml:space="preserve">Table 2: </w:t>
      </w:r>
      <w:r w:rsidR="00A90485">
        <w:rPr>
          <w:rFonts w:ascii="Arial" w:hAnsi="Arial" w:cs="Arial"/>
          <w:b/>
        </w:rPr>
        <w:t>Macrophyte</w:t>
      </w:r>
      <w:r w:rsidRPr="00DD2E24">
        <w:rPr>
          <w:rFonts w:ascii="Arial" w:hAnsi="Arial" w:cs="Arial"/>
          <w:b/>
        </w:rPr>
        <w:t xml:space="preserve"> species composition and distribution</w:t>
      </w:r>
    </w:p>
    <w:tbl>
      <w:tblPr>
        <w:tblStyle w:val="TableGrid"/>
        <w:tblW w:w="52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50"/>
        <w:gridCol w:w="1729"/>
        <w:gridCol w:w="1915"/>
        <w:gridCol w:w="1172"/>
        <w:gridCol w:w="984"/>
        <w:gridCol w:w="1205"/>
      </w:tblGrid>
      <w:tr w:rsidR="00687AAF" w:rsidRPr="00DD2E24" w:rsidTr="007C4084">
        <w:tc>
          <w:tcPr>
            <w:tcW w:w="1044" w:type="pct"/>
            <w:tcBorders>
              <w:top w:val="single" w:sz="4" w:space="0" w:color="auto"/>
              <w:bottom w:val="single" w:sz="4" w:space="0" w:color="auto"/>
            </w:tcBorders>
          </w:tcPr>
          <w:p w:rsidR="00687AAF" w:rsidRPr="00DD2E24" w:rsidRDefault="00687AAF" w:rsidP="00A72992">
            <w:pPr>
              <w:jc w:val="both"/>
              <w:rPr>
                <w:rFonts w:ascii="Arial" w:hAnsi="Arial" w:cs="Arial"/>
                <w:b/>
              </w:rPr>
            </w:pPr>
            <w:r w:rsidRPr="00DD2E24">
              <w:rPr>
                <w:rFonts w:ascii="Arial" w:hAnsi="Arial" w:cs="Arial"/>
                <w:b/>
              </w:rPr>
              <w:t>Species</w:t>
            </w:r>
          </w:p>
        </w:tc>
        <w:tc>
          <w:tcPr>
            <w:tcW w:w="976" w:type="pct"/>
            <w:tcBorders>
              <w:top w:val="single" w:sz="4" w:space="0" w:color="auto"/>
              <w:bottom w:val="single" w:sz="4" w:space="0" w:color="auto"/>
            </w:tcBorders>
          </w:tcPr>
          <w:p w:rsidR="00687AAF" w:rsidRPr="00DD2E24" w:rsidRDefault="00687AAF" w:rsidP="00A72992">
            <w:pPr>
              <w:jc w:val="both"/>
              <w:rPr>
                <w:rFonts w:ascii="Arial" w:hAnsi="Arial" w:cs="Arial"/>
                <w:b/>
              </w:rPr>
            </w:pPr>
            <w:r w:rsidRPr="00DD2E24">
              <w:rPr>
                <w:rFonts w:ascii="Arial" w:hAnsi="Arial" w:cs="Arial"/>
                <w:b/>
              </w:rPr>
              <w:t>Family</w:t>
            </w:r>
          </w:p>
        </w:tc>
        <w:tc>
          <w:tcPr>
            <w:tcW w:w="1082" w:type="pct"/>
            <w:tcBorders>
              <w:top w:val="single" w:sz="4" w:space="0" w:color="auto"/>
              <w:bottom w:val="single" w:sz="4" w:space="0" w:color="auto"/>
            </w:tcBorders>
          </w:tcPr>
          <w:p w:rsidR="00687AAF" w:rsidRPr="00DD2E24" w:rsidRDefault="00687AAF" w:rsidP="00A72992">
            <w:pPr>
              <w:jc w:val="both"/>
              <w:rPr>
                <w:rFonts w:ascii="Arial" w:hAnsi="Arial" w:cs="Arial"/>
                <w:b/>
              </w:rPr>
            </w:pPr>
            <w:r w:rsidRPr="00DD2E24">
              <w:rPr>
                <w:rFonts w:ascii="Arial" w:hAnsi="Arial" w:cs="Arial"/>
                <w:b/>
              </w:rPr>
              <w:t>Common name</w:t>
            </w:r>
          </w:p>
        </w:tc>
        <w:tc>
          <w:tcPr>
            <w:tcW w:w="662" w:type="pct"/>
            <w:tcBorders>
              <w:top w:val="single" w:sz="4" w:space="0" w:color="auto"/>
              <w:bottom w:val="single" w:sz="4" w:space="0" w:color="auto"/>
            </w:tcBorders>
          </w:tcPr>
          <w:p w:rsidR="00687AAF" w:rsidRPr="00DD2E24" w:rsidRDefault="00687AAF" w:rsidP="00A72992">
            <w:pPr>
              <w:jc w:val="both"/>
              <w:rPr>
                <w:rFonts w:ascii="Arial" w:hAnsi="Arial" w:cs="Arial"/>
                <w:b/>
              </w:rPr>
            </w:pPr>
            <w:r w:rsidRPr="00DD2E24">
              <w:rPr>
                <w:rFonts w:ascii="Arial" w:hAnsi="Arial" w:cs="Arial"/>
                <w:b/>
              </w:rPr>
              <w:t>Relative frequency</w:t>
            </w:r>
          </w:p>
        </w:tc>
        <w:tc>
          <w:tcPr>
            <w:tcW w:w="556" w:type="pct"/>
            <w:tcBorders>
              <w:top w:val="single" w:sz="4" w:space="0" w:color="auto"/>
              <w:bottom w:val="single" w:sz="4" w:space="0" w:color="auto"/>
            </w:tcBorders>
          </w:tcPr>
          <w:p w:rsidR="00687AAF" w:rsidRPr="00DD2E24" w:rsidRDefault="00687AAF" w:rsidP="00A72992">
            <w:pPr>
              <w:jc w:val="both"/>
              <w:rPr>
                <w:rFonts w:ascii="Arial" w:hAnsi="Arial" w:cs="Arial"/>
                <w:b/>
              </w:rPr>
            </w:pPr>
            <w:r w:rsidRPr="00DD2E24">
              <w:rPr>
                <w:rFonts w:ascii="Arial" w:hAnsi="Arial" w:cs="Arial"/>
                <w:b/>
              </w:rPr>
              <w:t>Relative density</w:t>
            </w:r>
          </w:p>
        </w:tc>
        <w:tc>
          <w:tcPr>
            <w:tcW w:w="680" w:type="pct"/>
            <w:tcBorders>
              <w:top w:val="single" w:sz="4" w:space="0" w:color="auto"/>
              <w:bottom w:val="single" w:sz="4" w:space="0" w:color="auto"/>
            </w:tcBorders>
          </w:tcPr>
          <w:p w:rsidR="00687AAF" w:rsidRPr="00DD2E24" w:rsidRDefault="00687AAF" w:rsidP="00A72992">
            <w:pPr>
              <w:jc w:val="both"/>
              <w:rPr>
                <w:rFonts w:ascii="Arial" w:hAnsi="Arial" w:cs="Arial"/>
                <w:b/>
              </w:rPr>
            </w:pPr>
            <w:r w:rsidRPr="00DD2E24">
              <w:rPr>
                <w:rFonts w:ascii="Arial" w:hAnsi="Arial" w:cs="Arial"/>
                <w:b/>
              </w:rPr>
              <w:t>IVI (important value index)</w:t>
            </w:r>
          </w:p>
        </w:tc>
      </w:tr>
      <w:tr w:rsidR="00687AAF" w:rsidRPr="00DD2E24" w:rsidTr="007C4084">
        <w:tc>
          <w:tcPr>
            <w:tcW w:w="1044" w:type="pct"/>
            <w:tcBorders>
              <w:top w:val="single" w:sz="4" w:space="0" w:color="auto"/>
            </w:tcBorders>
          </w:tcPr>
          <w:p w:rsidR="00687AAF" w:rsidRPr="00271D51" w:rsidRDefault="00F65DAE" w:rsidP="00A72992">
            <w:pPr>
              <w:jc w:val="both"/>
              <w:rPr>
                <w:rFonts w:ascii="Arial" w:hAnsi="Arial" w:cs="Arial"/>
                <w:i/>
              </w:rPr>
            </w:pPr>
            <w:r w:rsidRPr="00F65DAE">
              <w:rPr>
                <w:rFonts w:ascii="Arial" w:hAnsi="Arial" w:cs="Arial"/>
                <w:i/>
              </w:rPr>
              <w:t>Vossia cuspidata</w:t>
            </w:r>
          </w:p>
        </w:tc>
        <w:tc>
          <w:tcPr>
            <w:tcW w:w="976" w:type="pct"/>
            <w:tcBorders>
              <w:top w:val="single" w:sz="4" w:space="0" w:color="auto"/>
            </w:tcBorders>
          </w:tcPr>
          <w:p w:rsidR="00687AAF" w:rsidRPr="00DD2E24" w:rsidRDefault="00687AAF" w:rsidP="00A72992">
            <w:pPr>
              <w:jc w:val="both"/>
              <w:rPr>
                <w:rFonts w:ascii="Arial" w:hAnsi="Arial" w:cs="Arial"/>
              </w:rPr>
            </w:pPr>
            <w:r w:rsidRPr="00DD2E24">
              <w:rPr>
                <w:rFonts w:ascii="Arial" w:hAnsi="Arial" w:cs="Arial"/>
              </w:rPr>
              <w:t>Poaceae</w:t>
            </w:r>
          </w:p>
        </w:tc>
        <w:tc>
          <w:tcPr>
            <w:tcW w:w="1082" w:type="pct"/>
            <w:tcBorders>
              <w:top w:val="single" w:sz="4" w:space="0" w:color="auto"/>
            </w:tcBorders>
          </w:tcPr>
          <w:p w:rsidR="00687AAF" w:rsidRPr="00DD2E24" w:rsidRDefault="00687AAF" w:rsidP="00A72992">
            <w:pPr>
              <w:jc w:val="both"/>
              <w:rPr>
                <w:rFonts w:ascii="Arial" w:hAnsi="Arial" w:cs="Arial"/>
              </w:rPr>
            </w:pPr>
            <w:r w:rsidRPr="00DD2E24">
              <w:rPr>
                <w:rFonts w:ascii="Arial" w:hAnsi="Arial" w:cs="Arial"/>
              </w:rPr>
              <w:t>Hippo grass</w:t>
            </w:r>
          </w:p>
        </w:tc>
        <w:tc>
          <w:tcPr>
            <w:tcW w:w="662" w:type="pct"/>
            <w:tcBorders>
              <w:top w:val="single" w:sz="4" w:space="0" w:color="auto"/>
            </w:tcBorders>
          </w:tcPr>
          <w:p w:rsidR="00687AAF" w:rsidRPr="00DD2E24" w:rsidRDefault="00687AAF" w:rsidP="00A72992">
            <w:pPr>
              <w:jc w:val="both"/>
              <w:rPr>
                <w:rFonts w:ascii="Arial" w:hAnsi="Arial" w:cs="Arial"/>
              </w:rPr>
            </w:pPr>
            <w:r w:rsidRPr="00DD2E24">
              <w:rPr>
                <w:rFonts w:ascii="Arial" w:hAnsi="Arial" w:cs="Arial"/>
              </w:rPr>
              <w:t xml:space="preserve">22.69 </w:t>
            </w:r>
            <w:r w:rsidRPr="00DD2E24">
              <w:rPr>
                <w:rFonts w:ascii="Arial" w:hAnsi="Arial" w:cs="Arial"/>
              </w:rPr>
              <w:tab/>
            </w:r>
          </w:p>
        </w:tc>
        <w:tc>
          <w:tcPr>
            <w:tcW w:w="556" w:type="pct"/>
            <w:tcBorders>
              <w:top w:val="single" w:sz="4" w:space="0" w:color="auto"/>
            </w:tcBorders>
          </w:tcPr>
          <w:p w:rsidR="00687AAF" w:rsidRPr="00DD2E24" w:rsidRDefault="00687AAF" w:rsidP="00A72992">
            <w:pPr>
              <w:jc w:val="both"/>
              <w:rPr>
                <w:rFonts w:ascii="Arial" w:hAnsi="Arial" w:cs="Arial"/>
              </w:rPr>
            </w:pPr>
            <w:r w:rsidRPr="00DD2E24">
              <w:rPr>
                <w:rFonts w:ascii="Arial" w:hAnsi="Arial" w:cs="Arial"/>
              </w:rPr>
              <w:t>13.86</w:t>
            </w:r>
          </w:p>
        </w:tc>
        <w:tc>
          <w:tcPr>
            <w:tcW w:w="680" w:type="pct"/>
            <w:tcBorders>
              <w:top w:val="single" w:sz="4" w:space="0" w:color="auto"/>
            </w:tcBorders>
          </w:tcPr>
          <w:p w:rsidR="00687AAF" w:rsidRPr="00DD2E24" w:rsidRDefault="00687AAF" w:rsidP="00A72992">
            <w:pPr>
              <w:jc w:val="both"/>
              <w:rPr>
                <w:rFonts w:ascii="Arial" w:hAnsi="Arial" w:cs="Arial"/>
              </w:rPr>
            </w:pPr>
            <w:r w:rsidRPr="00DD2E24">
              <w:rPr>
                <w:rFonts w:ascii="Arial" w:hAnsi="Arial" w:cs="Arial"/>
              </w:rPr>
              <w:t>39.74</w:t>
            </w:r>
          </w:p>
        </w:tc>
      </w:tr>
      <w:tr w:rsidR="00687AAF" w:rsidRPr="00DD2E24" w:rsidTr="007C4084">
        <w:tc>
          <w:tcPr>
            <w:tcW w:w="1044" w:type="pct"/>
          </w:tcPr>
          <w:p w:rsidR="00687AAF" w:rsidRPr="00271D51" w:rsidRDefault="00687AAF" w:rsidP="00A72992">
            <w:pPr>
              <w:jc w:val="both"/>
              <w:rPr>
                <w:rFonts w:ascii="Arial" w:hAnsi="Arial" w:cs="Arial"/>
                <w:i/>
              </w:rPr>
            </w:pPr>
            <w:r w:rsidRPr="00271D51">
              <w:rPr>
                <w:rFonts w:ascii="Arial" w:hAnsi="Arial" w:cs="Arial"/>
                <w:i/>
              </w:rPr>
              <w:t>Pontederia crassipes(formerly Eichhornia crassipes)</w:t>
            </w:r>
          </w:p>
        </w:tc>
        <w:tc>
          <w:tcPr>
            <w:tcW w:w="976" w:type="pct"/>
          </w:tcPr>
          <w:p w:rsidR="00687AAF" w:rsidRPr="00DD2E24" w:rsidRDefault="00687AAF" w:rsidP="00A72992">
            <w:pPr>
              <w:jc w:val="both"/>
              <w:rPr>
                <w:rFonts w:ascii="Arial" w:hAnsi="Arial" w:cs="Arial"/>
              </w:rPr>
            </w:pPr>
            <w:r w:rsidRPr="00DD2E24">
              <w:rPr>
                <w:rFonts w:ascii="Arial" w:hAnsi="Arial" w:cs="Arial"/>
              </w:rPr>
              <w:t>Pontederiacea</w:t>
            </w:r>
          </w:p>
        </w:tc>
        <w:tc>
          <w:tcPr>
            <w:tcW w:w="1082" w:type="pct"/>
          </w:tcPr>
          <w:p w:rsidR="00687AAF" w:rsidRPr="00DD2E24" w:rsidRDefault="00687AAF" w:rsidP="00A72992">
            <w:pPr>
              <w:jc w:val="both"/>
              <w:rPr>
                <w:rFonts w:ascii="Arial" w:hAnsi="Arial" w:cs="Arial"/>
              </w:rPr>
            </w:pPr>
            <w:r w:rsidRPr="00DD2E24">
              <w:rPr>
                <w:rFonts w:ascii="Arial" w:hAnsi="Arial" w:cs="Arial"/>
              </w:rPr>
              <w:t>Water hyacinth</w:t>
            </w:r>
          </w:p>
        </w:tc>
        <w:tc>
          <w:tcPr>
            <w:tcW w:w="662" w:type="pct"/>
          </w:tcPr>
          <w:p w:rsidR="00687AAF" w:rsidRPr="00DD2E24" w:rsidRDefault="00687AAF" w:rsidP="00A72992">
            <w:pPr>
              <w:jc w:val="both"/>
              <w:rPr>
                <w:rFonts w:ascii="Arial" w:hAnsi="Arial" w:cs="Arial"/>
              </w:rPr>
            </w:pPr>
            <w:r w:rsidRPr="00DD2E24">
              <w:rPr>
                <w:rFonts w:ascii="Arial" w:hAnsi="Arial" w:cs="Arial"/>
              </w:rPr>
              <w:t xml:space="preserve">12.87 </w:t>
            </w:r>
          </w:p>
        </w:tc>
        <w:tc>
          <w:tcPr>
            <w:tcW w:w="556" w:type="pct"/>
          </w:tcPr>
          <w:p w:rsidR="00687AAF" w:rsidRPr="00DD2E24" w:rsidRDefault="00687AAF" w:rsidP="00A72992">
            <w:pPr>
              <w:jc w:val="both"/>
              <w:rPr>
                <w:rFonts w:ascii="Arial" w:hAnsi="Arial" w:cs="Arial"/>
              </w:rPr>
            </w:pPr>
            <w:r w:rsidRPr="00DD2E24">
              <w:rPr>
                <w:rFonts w:ascii="Arial" w:hAnsi="Arial" w:cs="Arial"/>
              </w:rPr>
              <w:t>17.90</w:t>
            </w:r>
          </w:p>
        </w:tc>
        <w:tc>
          <w:tcPr>
            <w:tcW w:w="680" w:type="pct"/>
          </w:tcPr>
          <w:p w:rsidR="00687AAF" w:rsidRPr="00DD2E24" w:rsidRDefault="00687AAF" w:rsidP="00A72992">
            <w:pPr>
              <w:jc w:val="both"/>
              <w:rPr>
                <w:rFonts w:ascii="Arial" w:hAnsi="Arial" w:cs="Arial"/>
              </w:rPr>
            </w:pPr>
            <w:r w:rsidRPr="00DD2E24">
              <w:rPr>
                <w:rFonts w:ascii="Arial" w:hAnsi="Arial" w:cs="Arial"/>
              </w:rPr>
              <w:t>38.02</w:t>
            </w:r>
          </w:p>
        </w:tc>
      </w:tr>
      <w:tr w:rsidR="00687AAF" w:rsidRPr="00DD2E24" w:rsidTr="007C4084">
        <w:tc>
          <w:tcPr>
            <w:tcW w:w="1044" w:type="pct"/>
          </w:tcPr>
          <w:p w:rsidR="00687AAF" w:rsidRPr="00271D51" w:rsidRDefault="00687AAF" w:rsidP="00A72992">
            <w:pPr>
              <w:jc w:val="both"/>
              <w:rPr>
                <w:rFonts w:ascii="Arial" w:hAnsi="Arial" w:cs="Arial"/>
                <w:i/>
              </w:rPr>
            </w:pPr>
            <w:r w:rsidRPr="00271D51">
              <w:rPr>
                <w:rFonts w:ascii="Arial" w:hAnsi="Arial" w:cs="Arial"/>
                <w:i/>
              </w:rPr>
              <w:t>Pistia stratiotes</w:t>
            </w:r>
          </w:p>
        </w:tc>
        <w:tc>
          <w:tcPr>
            <w:tcW w:w="976" w:type="pct"/>
          </w:tcPr>
          <w:p w:rsidR="00687AAF" w:rsidRPr="00DD2E24" w:rsidRDefault="00687AAF" w:rsidP="00A72992">
            <w:pPr>
              <w:jc w:val="both"/>
              <w:rPr>
                <w:rFonts w:ascii="Arial" w:hAnsi="Arial" w:cs="Arial"/>
              </w:rPr>
            </w:pPr>
            <w:r w:rsidRPr="00DD2E24">
              <w:rPr>
                <w:rFonts w:ascii="Arial" w:hAnsi="Arial" w:cs="Arial"/>
              </w:rPr>
              <w:t>Araceae</w:t>
            </w:r>
          </w:p>
        </w:tc>
        <w:tc>
          <w:tcPr>
            <w:tcW w:w="1082" w:type="pct"/>
          </w:tcPr>
          <w:p w:rsidR="00687AAF" w:rsidRPr="00DD2E24" w:rsidRDefault="00687AAF" w:rsidP="007C4084">
            <w:pPr>
              <w:jc w:val="both"/>
              <w:rPr>
                <w:rFonts w:ascii="Arial" w:hAnsi="Arial" w:cs="Arial"/>
              </w:rPr>
            </w:pPr>
            <w:r w:rsidRPr="00DD2E24">
              <w:rPr>
                <w:rFonts w:ascii="Arial" w:hAnsi="Arial" w:cs="Arial"/>
              </w:rPr>
              <w:t xml:space="preserve">Water cabbage </w:t>
            </w:r>
          </w:p>
        </w:tc>
        <w:tc>
          <w:tcPr>
            <w:tcW w:w="662" w:type="pct"/>
          </w:tcPr>
          <w:p w:rsidR="00687AAF" w:rsidRPr="00DD2E24" w:rsidRDefault="00687AAF" w:rsidP="00A72992">
            <w:pPr>
              <w:rPr>
                <w:rFonts w:ascii="Arial" w:hAnsi="Arial" w:cs="Arial"/>
              </w:rPr>
            </w:pPr>
            <w:r w:rsidRPr="00DD2E24">
              <w:rPr>
                <w:rFonts w:ascii="Arial" w:hAnsi="Arial" w:cs="Arial"/>
              </w:rPr>
              <w:t xml:space="preserve">9.14 </w:t>
            </w:r>
          </w:p>
        </w:tc>
        <w:tc>
          <w:tcPr>
            <w:tcW w:w="556" w:type="pct"/>
          </w:tcPr>
          <w:p w:rsidR="00687AAF" w:rsidRPr="00DD2E24" w:rsidRDefault="00687AAF" w:rsidP="00A72992">
            <w:pPr>
              <w:rPr>
                <w:rFonts w:ascii="Arial" w:hAnsi="Arial" w:cs="Arial"/>
              </w:rPr>
            </w:pPr>
            <w:r w:rsidRPr="00DD2E24">
              <w:rPr>
                <w:rFonts w:ascii="Arial" w:hAnsi="Arial" w:cs="Arial"/>
              </w:rPr>
              <w:t>8.48</w:t>
            </w:r>
          </w:p>
        </w:tc>
        <w:tc>
          <w:tcPr>
            <w:tcW w:w="680" w:type="pct"/>
          </w:tcPr>
          <w:p w:rsidR="00687AAF" w:rsidRPr="00DD2E24" w:rsidRDefault="00687AAF" w:rsidP="00A72992">
            <w:pPr>
              <w:rPr>
                <w:rFonts w:ascii="Arial" w:hAnsi="Arial" w:cs="Arial"/>
              </w:rPr>
            </w:pPr>
            <w:r w:rsidRPr="00DD2E24">
              <w:rPr>
                <w:rFonts w:ascii="Arial" w:hAnsi="Arial" w:cs="Arial"/>
              </w:rPr>
              <w:t>22.46</w:t>
            </w:r>
          </w:p>
        </w:tc>
      </w:tr>
      <w:tr w:rsidR="00687AAF" w:rsidRPr="00DD2E24" w:rsidTr="007C4084">
        <w:tc>
          <w:tcPr>
            <w:tcW w:w="1044" w:type="pct"/>
          </w:tcPr>
          <w:p w:rsidR="00687AAF" w:rsidRPr="00271D51" w:rsidRDefault="00A90485" w:rsidP="00A72992">
            <w:pPr>
              <w:jc w:val="both"/>
              <w:rPr>
                <w:rFonts w:ascii="Arial" w:hAnsi="Arial" w:cs="Arial"/>
                <w:i/>
              </w:rPr>
            </w:pPr>
            <w:r w:rsidRPr="00A90485">
              <w:rPr>
                <w:rFonts w:ascii="Arial" w:hAnsi="Arial" w:cs="Arial"/>
                <w:i/>
              </w:rPr>
              <w:t>Ceratophyllum</w:t>
            </w:r>
            <w:r w:rsidR="00687AAF" w:rsidRPr="00271D51">
              <w:rPr>
                <w:rFonts w:ascii="Arial" w:hAnsi="Arial" w:cs="Arial"/>
                <w:i/>
              </w:rPr>
              <w:t xml:space="preserve"> demersum</w:t>
            </w:r>
          </w:p>
        </w:tc>
        <w:tc>
          <w:tcPr>
            <w:tcW w:w="976" w:type="pct"/>
          </w:tcPr>
          <w:p w:rsidR="00687AAF" w:rsidRPr="00DD2E24" w:rsidRDefault="00687AAF" w:rsidP="00A72992">
            <w:pPr>
              <w:jc w:val="both"/>
              <w:rPr>
                <w:rFonts w:ascii="Arial" w:hAnsi="Arial" w:cs="Arial"/>
              </w:rPr>
            </w:pPr>
            <w:r w:rsidRPr="00DD2E24">
              <w:rPr>
                <w:rFonts w:ascii="Arial" w:hAnsi="Arial" w:cs="Arial"/>
              </w:rPr>
              <w:t>cerato</w:t>
            </w:r>
            <w:r w:rsidR="00F65DAE">
              <w:rPr>
                <w:rFonts w:ascii="Arial" w:hAnsi="Arial" w:cs="Arial"/>
              </w:rPr>
              <w:t>ph</w:t>
            </w:r>
            <w:r w:rsidRPr="00DD2E24">
              <w:rPr>
                <w:rFonts w:ascii="Arial" w:hAnsi="Arial" w:cs="Arial"/>
              </w:rPr>
              <w:t>yllaceae</w:t>
            </w:r>
          </w:p>
        </w:tc>
        <w:tc>
          <w:tcPr>
            <w:tcW w:w="1082" w:type="pct"/>
          </w:tcPr>
          <w:p w:rsidR="00687AAF" w:rsidRPr="00DD2E24" w:rsidRDefault="00687AAF" w:rsidP="00A72992">
            <w:pPr>
              <w:jc w:val="both"/>
              <w:rPr>
                <w:rFonts w:ascii="Arial" w:hAnsi="Arial" w:cs="Arial"/>
              </w:rPr>
            </w:pPr>
            <w:r w:rsidRPr="00DD2E24">
              <w:rPr>
                <w:rFonts w:ascii="Arial" w:hAnsi="Arial" w:cs="Arial"/>
              </w:rPr>
              <w:t>Hornwort</w:t>
            </w:r>
          </w:p>
        </w:tc>
        <w:tc>
          <w:tcPr>
            <w:tcW w:w="662" w:type="pct"/>
          </w:tcPr>
          <w:p w:rsidR="00687AAF" w:rsidRPr="00DD2E24" w:rsidRDefault="00687AAF" w:rsidP="00A72992">
            <w:pPr>
              <w:rPr>
                <w:rFonts w:ascii="Arial" w:hAnsi="Arial" w:cs="Arial"/>
              </w:rPr>
            </w:pPr>
            <w:r w:rsidRPr="00DD2E24">
              <w:rPr>
                <w:rFonts w:ascii="Arial" w:hAnsi="Arial" w:cs="Arial"/>
              </w:rPr>
              <w:t xml:space="preserve">0.34 </w:t>
            </w:r>
          </w:p>
        </w:tc>
        <w:tc>
          <w:tcPr>
            <w:tcW w:w="556" w:type="pct"/>
          </w:tcPr>
          <w:p w:rsidR="00687AAF" w:rsidRPr="00DD2E24" w:rsidRDefault="00687AAF" w:rsidP="00A72992">
            <w:pPr>
              <w:rPr>
                <w:rFonts w:ascii="Arial" w:hAnsi="Arial" w:cs="Arial"/>
              </w:rPr>
            </w:pPr>
            <w:r w:rsidRPr="00DD2E24">
              <w:rPr>
                <w:rFonts w:ascii="Arial" w:hAnsi="Arial" w:cs="Arial"/>
              </w:rPr>
              <w:t xml:space="preserve">0.08 </w:t>
            </w:r>
          </w:p>
        </w:tc>
        <w:tc>
          <w:tcPr>
            <w:tcW w:w="680" w:type="pct"/>
          </w:tcPr>
          <w:p w:rsidR="00687AAF" w:rsidRPr="00DD2E24" w:rsidRDefault="00687AAF" w:rsidP="00A72992">
            <w:pPr>
              <w:rPr>
                <w:rFonts w:ascii="Arial" w:hAnsi="Arial" w:cs="Arial"/>
              </w:rPr>
            </w:pPr>
            <w:r w:rsidRPr="00DD2E24">
              <w:rPr>
                <w:rFonts w:ascii="Arial" w:hAnsi="Arial" w:cs="Arial"/>
              </w:rPr>
              <w:t xml:space="preserve"> 1.64</w:t>
            </w:r>
          </w:p>
        </w:tc>
      </w:tr>
      <w:tr w:rsidR="00687AAF" w:rsidRPr="00DD2E24" w:rsidTr="007C4084">
        <w:tc>
          <w:tcPr>
            <w:tcW w:w="1044" w:type="pct"/>
          </w:tcPr>
          <w:p w:rsidR="00687AAF" w:rsidRPr="00271D51" w:rsidRDefault="009B3C42" w:rsidP="00A72992">
            <w:pPr>
              <w:jc w:val="both"/>
              <w:rPr>
                <w:rFonts w:ascii="Arial" w:hAnsi="Arial" w:cs="Arial"/>
                <w:i/>
              </w:rPr>
            </w:pPr>
            <w:r w:rsidRPr="00C366B2">
              <w:rPr>
                <w:rFonts w:ascii="Arial" w:hAnsi="Arial" w:cs="Arial"/>
                <w:i/>
                <w:highlight w:val="yellow"/>
              </w:rPr>
              <w:t>Ipomea aquatica</w:t>
            </w:r>
          </w:p>
        </w:tc>
        <w:tc>
          <w:tcPr>
            <w:tcW w:w="976" w:type="pct"/>
          </w:tcPr>
          <w:p w:rsidR="00687AAF" w:rsidRPr="00DD2E24" w:rsidRDefault="00687AAF" w:rsidP="00A72992">
            <w:pPr>
              <w:jc w:val="both"/>
              <w:rPr>
                <w:rFonts w:ascii="Arial" w:hAnsi="Arial" w:cs="Arial"/>
              </w:rPr>
            </w:pPr>
            <w:r w:rsidRPr="00DD2E24">
              <w:rPr>
                <w:rFonts w:ascii="Arial" w:hAnsi="Arial" w:cs="Arial"/>
              </w:rPr>
              <w:t>convolvulaceae</w:t>
            </w:r>
          </w:p>
        </w:tc>
        <w:tc>
          <w:tcPr>
            <w:tcW w:w="1082" w:type="pct"/>
          </w:tcPr>
          <w:p w:rsidR="00687AAF" w:rsidRPr="00DD2E24" w:rsidRDefault="00687AAF" w:rsidP="00A72992">
            <w:pPr>
              <w:jc w:val="both"/>
              <w:rPr>
                <w:rFonts w:ascii="Arial" w:hAnsi="Arial" w:cs="Arial"/>
              </w:rPr>
            </w:pPr>
            <w:r w:rsidRPr="00DD2E24">
              <w:rPr>
                <w:rFonts w:ascii="Arial" w:hAnsi="Arial" w:cs="Arial"/>
              </w:rPr>
              <w:t>Water spinach</w:t>
            </w:r>
          </w:p>
        </w:tc>
        <w:tc>
          <w:tcPr>
            <w:tcW w:w="662" w:type="pct"/>
          </w:tcPr>
          <w:p w:rsidR="00687AAF" w:rsidRPr="00DD2E24" w:rsidRDefault="00687AAF" w:rsidP="00A72992">
            <w:pPr>
              <w:jc w:val="both"/>
              <w:rPr>
                <w:rFonts w:ascii="Arial" w:hAnsi="Arial" w:cs="Arial"/>
              </w:rPr>
            </w:pPr>
            <w:r w:rsidRPr="00DD2E24">
              <w:rPr>
                <w:rFonts w:ascii="Arial" w:hAnsi="Arial" w:cs="Arial"/>
              </w:rPr>
              <w:t xml:space="preserve">0.68 </w:t>
            </w:r>
          </w:p>
          <w:p w:rsidR="00687AAF" w:rsidRPr="00DD2E24" w:rsidRDefault="00687AAF" w:rsidP="00A72992">
            <w:pPr>
              <w:jc w:val="both"/>
              <w:rPr>
                <w:rFonts w:ascii="Arial" w:hAnsi="Arial" w:cs="Arial"/>
              </w:rPr>
            </w:pPr>
          </w:p>
        </w:tc>
        <w:tc>
          <w:tcPr>
            <w:tcW w:w="556" w:type="pct"/>
          </w:tcPr>
          <w:p w:rsidR="00687AAF" w:rsidRPr="00DD2E24" w:rsidRDefault="00687AAF" w:rsidP="00A72992">
            <w:pPr>
              <w:jc w:val="both"/>
              <w:rPr>
                <w:rFonts w:ascii="Arial" w:hAnsi="Arial" w:cs="Arial"/>
              </w:rPr>
            </w:pPr>
            <w:r w:rsidRPr="00DD2E24">
              <w:rPr>
                <w:rFonts w:ascii="Arial" w:hAnsi="Arial" w:cs="Arial"/>
              </w:rPr>
              <w:t>0.37</w:t>
            </w:r>
          </w:p>
        </w:tc>
        <w:tc>
          <w:tcPr>
            <w:tcW w:w="680" w:type="pct"/>
          </w:tcPr>
          <w:p w:rsidR="00687AAF" w:rsidRPr="00DD2E24" w:rsidRDefault="00687AAF" w:rsidP="00A72992">
            <w:pPr>
              <w:jc w:val="both"/>
              <w:rPr>
                <w:rFonts w:ascii="Arial" w:hAnsi="Arial" w:cs="Arial"/>
              </w:rPr>
            </w:pPr>
            <w:r w:rsidRPr="00DD2E24">
              <w:rPr>
                <w:rFonts w:ascii="Arial" w:hAnsi="Arial" w:cs="Arial"/>
              </w:rPr>
              <w:t>3.92</w:t>
            </w:r>
          </w:p>
        </w:tc>
      </w:tr>
      <w:tr w:rsidR="00687AAF" w:rsidRPr="00DD2E24" w:rsidTr="007C4084">
        <w:tc>
          <w:tcPr>
            <w:tcW w:w="1044" w:type="pct"/>
            <w:tcBorders>
              <w:bottom w:val="single" w:sz="4" w:space="0" w:color="auto"/>
            </w:tcBorders>
          </w:tcPr>
          <w:p w:rsidR="00687AAF" w:rsidRPr="00271D51" w:rsidRDefault="00687AAF" w:rsidP="00A72992">
            <w:pPr>
              <w:jc w:val="both"/>
              <w:rPr>
                <w:rFonts w:ascii="Arial" w:hAnsi="Arial" w:cs="Arial"/>
                <w:i/>
              </w:rPr>
            </w:pPr>
            <w:r w:rsidRPr="00271D51">
              <w:rPr>
                <w:rFonts w:ascii="Arial" w:hAnsi="Arial" w:cs="Arial"/>
                <w:i/>
              </w:rPr>
              <w:t xml:space="preserve">Ludwigia </w:t>
            </w:r>
            <w:r w:rsidR="00271D51" w:rsidRPr="00271D51">
              <w:rPr>
                <w:rFonts w:ascii="Arial" w:hAnsi="Arial" w:cs="Arial"/>
                <w:i/>
              </w:rPr>
              <w:t>palustris</w:t>
            </w:r>
          </w:p>
        </w:tc>
        <w:tc>
          <w:tcPr>
            <w:tcW w:w="976" w:type="pct"/>
            <w:tcBorders>
              <w:bottom w:val="single" w:sz="4" w:space="0" w:color="auto"/>
            </w:tcBorders>
          </w:tcPr>
          <w:p w:rsidR="00687AAF" w:rsidRPr="00DD2E24" w:rsidRDefault="00687AAF" w:rsidP="00A72992">
            <w:pPr>
              <w:jc w:val="both"/>
              <w:rPr>
                <w:rFonts w:ascii="Arial" w:hAnsi="Arial" w:cs="Arial"/>
              </w:rPr>
            </w:pPr>
            <w:r w:rsidRPr="00DD2E24">
              <w:rPr>
                <w:rFonts w:ascii="Arial" w:hAnsi="Arial" w:cs="Arial"/>
              </w:rPr>
              <w:t>onagraceae</w:t>
            </w:r>
          </w:p>
        </w:tc>
        <w:tc>
          <w:tcPr>
            <w:tcW w:w="1082" w:type="pct"/>
            <w:tcBorders>
              <w:bottom w:val="single" w:sz="4" w:space="0" w:color="auto"/>
            </w:tcBorders>
          </w:tcPr>
          <w:p w:rsidR="00687AAF" w:rsidRPr="00DD2E24" w:rsidRDefault="00687AAF" w:rsidP="00A72992">
            <w:pPr>
              <w:jc w:val="both"/>
              <w:rPr>
                <w:rFonts w:ascii="Arial" w:hAnsi="Arial" w:cs="Arial"/>
              </w:rPr>
            </w:pPr>
            <w:r w:rsidRPr="00DD2E24">
              <w:rPr>
                <w:rFonts w:ascii="Arial" w:hAnsi="Arial" w:cs="Arial"/>
              </w:rPr>
              <w:t>Marsh seedbox</w:t>
            </w:r>
          </w:p>
        </w:tc>
        <w:tc>
          <w:tcPr>
            <w:tcW w:w="662" w:type="pct"/>
            <w:tcBorders>
              <w:bottom w:val="single" w:sz="4" w:space="0" w:color="auto"/>
            </w:tcBorders>
          </w:tcPr>
          <w:p w:rsidR="00687AAF" w:rsidRPr="00DD2E24" w:rsidRDefault="00687AAF" w:rsidP="00A72992">
            <w:pPr>
              <w:jc w:val="both"/>
              <w:rPr>
                <w:rFonts w:ascii="Arial" w:hAnsi="Arial" w:cs="Arial"/>
              </w:rPr>
            </w:pPr>
            <w:r w:rsidRPr="00DD2E24">
              <w:rPr>
                <w:rFonts w:ascii="Arial" w:hAnsi="Arial" w:cs="Arial"/>
              </w:rPr>
              <w:t xml:space="preserve">5.42 </w:t>
            </w:r>
          </w:p>
        </w:tc>
        <w:tc>
          <w:tcPr>
            <w:tcW w:w="556" w:type="pct"/>
            <w:tcBorders>
              <w:bottom w:val="single" w:sz="4" w:space="0" w:color="auto"/>
            </w:tcBorders>
          </w:tcPr>
          <w:p w:rsidR="00687AAF" w:rsidRPr="00DD2E24" w:rsidRDefault="00687AAF" w:rsidP="00A72992">
            <w:pPr>
              <w:jc w:val="both"/>
              <w:rPr>
                <w:rFonts w:ascii="Arial" w:hAnsi="Arial" w:cs="Arial"/>
              </w:rPr>
            </w:pPr>
            <w:r w:rsidRPr="00DD2E24">
              <w:rPr>
                <w:rFonts w:ascii="Arial" w:hAnsi="Arial" w:cs="Arial"/>
              </w:rPr>
              <w:t>5.99</w:t>
            </w:r>
          </w:p>
        </w:tc>
        <w:tc>
          <w:tcPr>
            <w:tcW w:w="680" w:type="pct"/>
            <w:tcBorders>
              <w:bottom w:val="single" w:sz="4" w:space="0" w:color="auto"/>
            </w:tcBorders>
          </w:tcPr>
          <w:p w:rsidR="00687AAF" w:rsidRPr="00DD2E24" w:rsidRDefault="00687AAF" w:rsidP="00A72992">
            <w:pPr>
              <w:jc w:val="both"/>
              <w:rPr>
                <w:rFonts w:ascii="Arial" w:hAnsi="Arial" w:cs="Arial"/>
              </w:rPr>
            </w:pPr>
            <w:r w:rsidRPr="00DD2E24">
              <w:rPr>
                <w:rFonts w:ascii="Arial" w:hAnsi="Arial" w:cs="Arial"/>
              </w:rPr>
              <w:t>17.17</w:t>
            </w:r>
          </w:p>
        </w:tc>
      </w:tr>
    </w:tbl>
    <w:p w:rsidR="00687AAF" w:rsidRDefault="00687AAF" w:rsidP="00687AAF">
      <w:pPr>
        <w:pStyle w:val="BodyText3"/>
        <w:tabs>
          <w:tab w:val="left" w:pos="1080"/>
        </w:tabs>
        <w:spacing w:after="0"/>
        <w:ind w:left="1080" w:hanging="1080"/>
        <w:jc w:val="both"/>
        <w:rPr>
          <w:rFonts w:ascii="Arial" w:hAnsi="Arial"/>
          <w:bCs/>
          <w:i/>
          <w:sz w:val="18"/>
        </w:rPr>
      </w:pPr>
    </w:p>
    <w:p w:rsidR="00687AAF" w:rsidRDefault="00687AAF" w:rsidP="00687AAF">
      <w:pPr>
        <w:pStyle w:val="BodyText3"/>
        <w:tabs>
          <w:tab w:val="left" w:pos="1080"/>
        </w:tabs>
        <w:spacing w:after="0"/>
        <w:ind w:left="1080" w:hanging="1080"/>
        <w:jc w:val="both"/>
        <w:rPr>
          <w:rFonts w:ascii="Arial" w:hAnsi="Arial"/>
          <w:b/>
          <w:sz w:val="20"/>
          <w:szCs w:val="20"/>
        </w:rPr>
      </w:pPr>
    </w:p>
    <w:p w:rsidR="00687AAF" w:rsidRDefault="00687AAF" w:rsidP="00687AAF">
      <w:pPr>
        <w:pStyle w:val="BodyText3"/>
        <w:tabs>
          <w:tab w:val="left" w:pos="1080"/>
        </w:tabs>
        <w:spacing w:after="0"/>
        <w:ind w:left="1080" w:hanging="1080"/>
        <w:jc w:val="both"/>
        <w:rPr>
          <w:rFonts w:ascii="Arial" w:hAnsi="Arial"/>
          <w:b/>
          <w:sz w:val="20"/>
          <w:szCs w:val="20"/>
        </w:rPr>
      </w:pPr>
    </w:p>
    <w:p w:rsidR="00687AAF" w:rsidRPr="0071557E" w:rsidRDefault="00687AAF" w:rsidP="00687AAF">
      <w:pPr>
        <w:pStyle w:val="Body"/>
        <w:spacing w:after="0"/>
        <w:rPr>
          <w:rFonts w:ascii="Arial" w:hAnsi="Arial" w:cs="Arial"/>
          <w:lang w:val="en-GB"/>
        </w:rPr>
      </w:pPr>
      <w:r w:rsidRPr="0071557E">
        <w:rPr>
          <w:rFonts w:ascii="Arial" w:hAnsi="Arial" w:cs="Arial"/>
          <w:lang w:val="en-GB"/>
        </w:rPr>
        <w:t xml:space="preserve">The </w:t>
      </w:r>
      <w:r w:rsidR="00A90485">
        <w:rPr>
          <w:rFonts w:ascii="Arial" w:hAnsi="Arial" w:cs="Arial"/>
          <w:lang w:val="en-GB"/>
        </w:rPr>
        <w:t>macrophyte</w:t>
      </w:r>
      <w:r w:rsidRPr="0071557E">
        <w:rPr>
          <w:rFonts w:ascii="Arial" w:hAnsi="Arial" w:cs="Arial"/>
          <w:lang w:val="en-GB"/>
        </w:rPr>
        <w:t xml:space="preserve"> survey revealed 6 species belonging to 6 families. The most represented families were Araceae, Poaceae, pontederiaceae, cerato</w:t>
      </w:r>
      <w:r w:rsidR="00F65DAE">
        <w:rPr>
          <w:rFonts w:ascii="Arial" w:hAnsi="Arial" w:cs="Arial"/>
          <w:lang w:val="en-GB"/>
        </w:rPr>
        <w:t>ph</w:t>
      </w:r>
      <w:r w:rsidRPr="0071557E">
        <w:rPr>
          <w:rFonts w:ascii="Arial" w:hAnsi="Arial" w:cs="Arial"/>
          <w:lang w:val="en-GB"/>
        </w:rPr>
        <w:t>yllaceae, convolvulaceae and onagraceae. This diversity is comparable to that reported by Onword</w:t>
      </w:r>
      <w:r w:rsidR="00642C81">
        <w:rPr>
          <w:rFonts w:ascii="Arial" w:hAnsi="Arial" w:cs="Arial"/>
          <w:lang w:val="en-GB"/>
        </w:rPr>
        <w:t>i</w:t>
      </w:r>
      <w:r w:rsidR="00642C81">
        <w:rPr>
          <w:rFonts w:ascii="Arial" w:hAnsi="Arial" w:cs="Arial"/>
          <w:vertAlign w:val="superscript"/>
          <w:lang w:val="en-GB"/>
        </w:rPr>
        <w:t>41</w:t>
      </w:r>
      <w:r w:rsidRPr="0071557E">
        <w:rPr>
          <w:rFonts w:ascii="Arial" w:hAnsi="Arial" w:cs="Arial"/>
          <w:lang w:val="en-GB"/>
        </w:rPr>
        <w:t xml:space="preserve"> for Nigerian freshwater ecosystems.</w:t>
      </w:r>
    </w:p>
    <w:p w:rsidR="00687AAF" w:rsidRPr="00F65DAE" w:rsidRDefault="00687AAF" w:rsidP="00F65DAE">
      <w:pPr>
        <w:jc w:val="both"/>
        <w:rPr>
          <w:rFonts w:ascii="Arial" w:hAnsi="Arial" w:cs="Arial"/>
          <w:i/>
        </w:rPr>
      </w:pPr>
      <w:r w:rsidRPr="0071557E">
        <w:rPr>
          <w:rFonts w:ascii="Arial" w:hAnsi="Arial" w:cs="Arial"/>
          <w:lang w:val="en-GB"/>
        </w:rPr>
        <w:t xml:space="preserve">Based on the life form dominant </w:t>
      </w:r>
      <w:r w:rsidR="00A90485">
        <w:rPr>
          <w:rFonts w:ascii="Arial" w:hAnsi="Arial" w:cs="Arial"/>
          <w:lang w:val="en-GB"/>
        </w:rPr>
        <w:t>macrophyte</w:t>
      </w:r>
      <w:r w:rsidRPr="0071557E">
        <w:rPr>
          <w:rFonts w:ascii="Arial" w:hAnsi="Arial" w:cs="Arial"/>
          <w:lang w:val="en-GB"/>
        </w:rPr>
        <w:t xml:space="preserve"> species included: Floating-leaved: </w:t>
      </w:r>
      <w:r w:rsidR="00F65DAE" w:rsidRPr="00F65DAE">
        <w:rPr>
          <w:rFonts w:ascii="Arial" w:hAnsi="Arial" w:cs="Arial"/>
          <w:i/>
          <w:lang w:val="en-GB"/>
        </w:rPr>
        <w:t>Vossia cuspidata</w:t>
      </w:r>
      <w:r w:rsidRPr="0071557E">
        <w:rPr>
          <w:rFonts w:ascii="Arial" w:hAnsi="Arial" w:cs="Arial"/>
          <w:lang w:val="en-GB"/>
        </w:rPr>
        <w:t xml:space="preserve">, </w:t>
      </w:r>
      <w:r w:rsidR="00F65DAE" w:rsidRPr="00F65DAE">
        <w:rPr>
          <w:rFonts w:ascii="Arial" w:hAnsi="Arial" w:cs="Arial"/>
          <w:i/>
          <w:lang w:val="en-GB"/>
        </w:rPr>
        <w:t xml:space="preserve">Pontederia </w:t>
      </w:r>
      <w:r w:rsidRPr="00F65DAE">
        <w:rPr>
          <w:rFonts w:ascii="Arial" w:hAnsi="Arial" w:cs="Arial"/>
          <w:i/>
          <w:lang w:val="en-GB"/>
        </w:rPr>
        <w:t>crassipes</w:t>
      </w:r>
      <w:r w:rsidRPr="0071557E">
        <w:rPr>
          <w:rFonts w:ascii="Arial" w:hAnsi="Arial" w:cs="Arial"/>
          <w:lang w:val="en-GB"/>
        </w:rPr>
        <w:t xml:space="preserve"> (formerly known as </w:t>
      </w:r>
      <w:r w:rsidR="00F65DAE" w:rsidRPr="00F65DAE">
        <w:rPr>
          <w:rFonts w:ascii="Arial" w:hAnsi="Arial" w:cs="Arial"/>
          <w:i/>
          <w:lang w:val="en-GB"/>
        </w:rPr>
        <w:t xml:space="preserve">Eichhornia </w:t>
      </w:r>
      <w:r w:rsidRPr="00F65DAE">
        <w:rPr>
          <w:rFonts w:ascii="Arial" w:hAnsi="Arial" w:cs="Arial"/>
          <w:i/>
          <w:lang w:val="en-GB"/>
        </w:rPr>
        <w:t>crassipes</w:t>
      </w:r>
      <w:r w:rsidRPr="0071557E">
        <w:rPr>
          <w:rFonts w:ascii="Arial" w:hAnsi="Arial" w:cs="Arial"/>
          <w:lang w:val="en-GB"/>
        </w:rPr>
        <w:t xml:space="preserve">), </w:t>
      </w:r>
      <w:r w:rsidRPr="00F65DAE">
        <w:rPr>
          <w:rFonts w:ascii="Arial" w:hAnsi="Arial" w:cs="Arial"/>
          <w:i/>
          <w:lang w:val="en-GB"/>
        </w:rPr>
        <w:t>Pistia stratiotes</w:t>
      </w:r>
      <w:r w:rsidRPr="0071557E">
        <w:rPr>
          <w:rFonts w:ascii="Arial" w:hAnsi="Arial" w:cs="Arial"/>
          <w:lang w:val="en-GB"/>
        </w:rPr>
        <w:t xml:space="preserve">, </w:t>
      </w:r>
      <w:r w:rsidR="00F65DAE" w:rsidRPr="00C366B2">
        <w:rPr>
          <w:rFonts w:ascii="Arial" w:hAnsi="Arial" w:cs="Arial"/>
          <w:i/>
          <w:highlight w:val="yellow"/>
        </w:rPr>
        <w:t>Ipomea aquatica</w:t>
      </w:r>
      <w:r w:rsidRPr="00C366B2">
        <w:rPr>
          <w:rFonts w:ascii="Arial" w:hAnsi="Arial" w:cs="Arial"/>
          <w:highlight w:val="yellow"/>
          <w:lang w:val="en-GB"/>
        </w:rPr>
        <w:t>,</w:t>
      </w:r>
      <w:r w:rsidRPr="0071557E">
        <w:rPr>
          <w:rFonts w:ascii="Arial" w:hAnsi="Arial" w:cs="Arial"/>
          <w:lang w:val="en-GB"/>
        </w:rPr>
        <w:t xml:space="preserve"> </w:t>
      </w:r>
      <w:r w:rsidRPr="009B1132">
        <w:rPr>
          <w:rFonts w:ascii="Arial" w:hAnsi="Arial" w:cs="Arial"/>
          <w:i/>
          <w:highlight w:val="yellow"/>
          <w:lang w:val="en-GB"/>
        </w:rPr>
        <w:t>Ludwigia Palustris</w:t>
      </w:r>
      <w:r w:rsidRPr="0071557E">
        <w:rPr>
          <w:rFonts w:ascii="Arial" w:hAnsi="Arial" w:cs="Arial"/>
          <w:lang w:val="en-GB"/>
        </w:rPr>
        <w:t xml:space="preserve">.  Submerged: </w:t>
      </w:r>
      <w:r w:rsidR="00A90485" w:rsidRPr="00A90485">
        <w:rPr>
          <w:rFonts w:ascii="Arial" w:hAnsi="Arial" w:cs="Arial"/>
          <w:i/>
          <w:lang w:val="en-GB"/>
        </w:rPr>
        <w:t>Ceratophyllum</w:t>
      </w:r>
      <w:r w:rsidRPr="0071557E">
        <w:rPr>
          <w:rFonts w:ascii="Arial" w:hAnsi="Arial" w:cs="Arial"/>
          <w:lang w:val="en-GB"/>
        </w:rPr>
        <w:t xml:space="preserve"> </w:t>
      </w:r>
      <w:r w:rsidRPr="00272F05">
        <w:rPr>
          <w:rFonts w:ascii="Arial" w:hAnsi="Arial" w:cs="Arial"/>
          <w:i/>
          <w:lang w:val="en-GB"/>
        </w:rPr>
        <w:t>demersum</w:t>
      </w:r>
      <w:r w:rsidRPr="0071557E">
        <w:rPr>
          <w:rFonts w:ascii="Arial" w:hAnsi="Arial" w:cs="Arial"/>
          <w:lang w:val="en-GB"/>
        </w:rPr>
        <w:t xml:space="preserve">. </w:t>
      </w:r>
      <w:r w:rsidR="00A90485">
        <w:rPr>
          <w:rFonts w:ascii="Arial" w:hAnsi="Arial" w:cs="Arial"/>
          <w:lang w:val="en-GB"/>
        </w:rPr>
        <w:t>Macrophyte</w:t>
      </w:r>
      <w:r w:rsidRPr="0071557E">
        <w:rPr>
          <w:rFonts w:ascii="Arial" w:hAnsi="Arial" w:cs="Arial"/>
          <w:lang w:val="en-GB"/>
        </w:rPr>
        <w:t xml:space="preserve"> distribution showed clear zonation patterns along the river. The upper reaches were dominated by emergent species, while floating-leaved and submerged species were more prevalent in the middle and lower reaches. This zonation pattern is consistent with observations by Chambers</w:t>
      </w:r>
      <w:r w:rsidR="00CB48B8">
        <w:rPr>
          <w:rFonts w:ascii="Arial" w:hAnsi="Arial" w:cs="Arial"/>
          <w:vertAlign w:val="superscript"/>
          <w:lang w:val="en-GB"/>
        </w:rPr>
        <w:t>30</w:t>
      </w:r>
      <w:r w:rsidRPr="0071557E">
        <w:rPr>
          <w:rFonts w:ascii="Arial" w:hAnsi="Arial" w:cs="Arial"/>
          <w:lang w:val="en-GB"/>
        </w:rPr>
        <w:t xml:space="preserve"> on </w:t>
      </w:r>
      <w:r w:rsidR="00A90485">
        <w:rPr>
          <w:rFonts w:ascii="Arial" w:hAnsi="Arial" w:cs="Arial"/>
          <w:lang w:val="en-GB"/>
        </w:rPr>
        <w:t>macrophyte</w:t>
      </w:r>
      <w:r w:rsidRPr="0071557E">
        <w:rPr>
          <w:rFonts w:ascii="Arial" w:hAnsi="Arial" w:cs="Arial"/>
          <w:lang w:val="en-GB"/>
        </w:rPr>
        <w:t xml:space="preserve"> distribution in tropical rivers.</w:t>
      </w:r>
    </w:p>
    <w:p w:rsidR="00687AAF" w:rsidRDefault="00687AAF" w:rsidP="00687AAF">
      <w:pPr>
        <w:pStyle w:val="Body"/>
        <w:spacing w:after="0"/>
        <w:rPr>
          <w:rFonts w:ascii="Arial" w:hAnsi="Arial" w:cs="Arial"/>
        </w:rPr>
      </w:pPr>
    </w:p>
    <w:p w:rsidR="00A013D8" w:rsidRDefault="00A013D8" w:rsidP="00687AAF">
      <w:pPr>
        <w:spacing w:line="480" w:lineRule="auto"/>
        <w:ind w:right="-187"/>
        <w:jc w:val="both"/>
        <w:rPr>
          <w:rFonts w:ascii="Arial" w:hAnsi="Arial" w:cs="Arial"/>
          <w:b/>
        </w:rPr>
      </w:pPr>
    </w:p>
    <w:p w:rsidR="00A013D8" w:rsidRDefault="00A013D8" w:rsidP="00687AAF">
      <w:pPr>
        <w:spacing w:line="480" w:lineRule="auto"/>
        <w:ind w:right="-187"/>
        <w:jc w:val="both"/>
        <w:rPr>
          <w:rFonts w:ascii="Arial" w:hAnsi="Arial" w:cs="Arial"/>
          <w:b/>
        </w:rPr>
      </w:pPr>
    </w:p>
    <w:p w:rsidR="00A013D8" w:rsidRDefault="00A013D8" w:rsidP="00687AAF">
      <w:pPr>
        <w:spacing w:line="480" w:lineRule="auto"/>
        <w:ind w:right="-187"/>
        <w:jc w:val="both"/>
        <w:rPr>
          <w:rFonts w:ascii="Arial" w:hAnsi="Arial" w:cs="Arial"/>
          <w:b/>
        </w:rPr>
      </w:pPr>
    </w:p>
    <w:p w:rsidR="00642C81" w:rsidRDefault="00642C81" w:rsidP="00687AAF">
      <w:pPr>
        <w:spacing w:line="480" w:lineRule="auto"/>
        <w:ind w:right="-187"/>
        <w:jc w:val="both"/>
        <w:rPr>
          <w:rFonts w:ascii="Arial" w:hAnsi="Arial" w:cs="Arial"/>
          <w:b/>
        </w:rPr>
      </w:pPr>
    </w:p>
    <w:p w:rsidR="00A013D8" w:rsidRDefault="00A013D8" w:rsidP="00687AAF">
      <w:pPr>
        <w:spacing w:line="480" w:lineRule="auto"/>
        <w:ind w:right="-187"/>
        <w:jc w:val="both"/>
        <w:rPr>
          <w:rFonts w:ascii="Arial" w:hAnsi="Arial" w:cs="Arial"/>
          <w:b/>
        </w:rPr>
      </w:pPr>
    </w:p>
    <w:p w:rsidR="00687AAF" w:rsidRPr="0071557E" w:rsidRDefault="00687AAF" w:rsidP="00687AAF">
      <w:pPr>
        <w:spacing w:line="480" w:lineRule="auto"/>
        <w:ind w:right="-187"/>
        <w:jc w:val="both"/>
        <w:rPr>
          <w:rFonts w:ascii="Arial" w:hAnsi="Arial" w:cs="Arial"/>
          <w:b/>
        </w:rPr>
      </w:pPr>
      <w:r w:rsidRPr="0071557E">
        <w:rPr>
          <w:rFonts w:ascii="Arial" w:hAnsi="Arial" w:cs="Arial"/>
          <w:b/>
        </w:rPr>
        <w:t xml:space="preserve">Table 3: Diversity profile for </w:t>
      </w:r>
      <w:r w:rsidR="00A90485">
        <w:rPr>
          <w:rFonts w:ascii="Arial" w:hAnsi="Arial" w:cs="Arial"/>
          <w:b/>
        </w:rPr>
        <w:t>macrophyte</w:t>
      </w:r>
      <w:r w:rsidR="00272F05">
        <w:rPr>
          <w:rFonts w:ascii="Arial" w:hAnsi="Arial" w:cs="Arial"/>
          <w:b/>
        </w:rPr>
        <w:t xml:space="preserve"> species for wet and dry s</w:t>
      </w:r>
      <w:r w:rsidRPr="0071557E">
        <w:rPr>
          <w:rFonts w:ascii="Arial" w:hAnsi="Arial" w:cs="Arial"/>
          <w:b/>
        </w:rPr>
        <w:t>eason of Eniong River</w:t>
      </w:r>
    </w:p>
    <w:tbl>
      <w:tblPr>
        <w:tblStyle w:val="TableGrid"/>
        <w:tblW w:w="0" w:type="auto"/>
        <w:tblLook w:val="04A0"/>
      </w:tblPr>
      <w:tblGrid>
        <w:gridCol w:w="1780"/>
        <w:gridCol w:w="1661"/>
        <w:gridCol w:w="1661"/>
        <w:gridCol w:w="1661"/>
        <w:gridCol w:w="1661"/>
      </w:tblGrid>
      <w:tr w:rsidR="00687AAF" w:rsidRPr="0071557E" w:rsidTr="00A72992">
        <w:tc>
          <w:tcPr>
            <w:tcW w:w="1848" w:type="dxa"/>
            <w:tcBorders>
              <w:left w:val="nil"/>
              <w:bottom w:val="single" w:sz="4" w:space="0" w:color="000000" w:themeColor="text1"/>
              <w:right w:val="nil"/>
            </w:tcBorders>
          </w:tcPr>
          <w:p w:rsidR="00687AAF" w:rsidRPr="0071557E" w:rsidRDefault="00687AAF" w:rsidP="00A72992">
            <w:pPr>
              <w:jc w:val="both"/>
              <w:rPr>
                <w:rFonts w:ascii="Arial" w:hAnsi="Arial" w:cs="Arial"/>
              </w:rPr>
            </w:pPr>
          </w:p>
        </w:tc>
        <w:tc>
          <w:tcPr>
            <w:tcW w:w="1848" w:type="dxa"/>
            <w:tcBorders>
              <w:left w:val="nil"/>
              <w:bottom w:val="single" w:sz="4" w:space="0" w:color="000000" w:themeColor="text1"/>
              <w:right w:val="nil"/>
            </w:tcBorders>
          </w:tcPr>
          <w:p w:rsidR="00687AAF" w:rsidRPr="0071557E" w:rsidRDefault="00687AAF" w:rsidP="00A72992">
            <w:pPr>
              <w:jc w:val="both"/>
              <w:rPr>
                <w:rFonts w:ascii="Arial" w:hAnsi="Arial" w:cs="Arial"/>
              </w:rPr>
            </w:pPr>
            <w:r w:rsidRPr="0071557E">
              <w:rPr>
                <w:rFonts w:ascii="Arial" w:hAnsi="Arial" w:cs="Arial"/>
              </w:rPr>
              <w:t>Station 1</w:t>
            </w:r>
          </w:p>
        </w:tc>
        <w:tc>
          <w:tcPr>
            <w:tcW w:w="1848" w:type="dxa"/>
            <w:tcBorders>
              <w:left w:val="nil"/>
              <w:bottom w:val="single" w:sz="4" w:space="0" w:color="000000" w:themeColor="text1"/>
              <w:right w:val="nil"/>
            </w:tcBorders>
          </w:tcPr>
          <w:p w:rsidR="00687AAF" w:rsidRPr="0071557E" w:rsidRDefault="00687AAF" w:rsidP="00A72992">
            <w:pPr>
              <w:jc w:val="both"/>
              <w:rPr>
                <w:rFonts w:ascii="Arial" w:hAnsi="Arial" w:cs="Arial"/>
              </w:rPr>
            </w:pPr>
            <w:r w:rsidRPr="0071557E">
              <w:rPr>
                <w:rFonts w:ascii="Arial" w:hAnsi="Arial" w:cs="Arial"/>
              </w:rPr>
              <w:t>Station 2</w:t>
            </w:r>
          </w:p>
        </w:tc>
        <w:tc>
          <w:tcPr>
            <w:tcW w:w="1849" w:type="dxa"/>
            <w:tcBorders>
              <w:left w:val="nil"/>
              <w:bottom w:val="single" w:sz="4" w:space="0" w:color="000000" w:themeColor="text1"/>
              <w:right w:val="nil"/>
            </w:tcBorders>
          </w:tcPr>
          <w:p w:rsidR="00687AAF" w:rsidRPr="0071557E" w:rsidRDefault="00687AAF" w:rsidP="00A72992">
            <w:pPr>
              <w:jc w:val="both"/>
              <w:rPr>
                <w:rFonts w:ascii="Arial" w:hAnsi="Arial" w:cs="Arial"/>
              </w:rPr>
            </w:pPr>
            <w:r w:rsidRPr="0071557E">
              <w:rPr>
                <w:rFonts w:ascii="Arial" w:hAnsi="Arial" w:cs="Arial"/>
              </w:rPr>
              <w:t>Station 3</w:t>
            </w:r>
          </w:p>
        </w:tc>
        <w:tc>
          <w:tcPr>
            <w:tcW w:w="1849" w:type="dxa"/>
            <w:tcBorders>
              <w:left w:val="nil"/>
              <w:bottom w:val="single" w:sz="4" w:space="0" w:color="000000" w:themeColor="text1"/>
              <w:right w:val="nil"/>
            </w:tcBorders>
          </w:tcPr>
          <w:p w:rsidR="00687AAF" w:rsidRPr="0071557E" w:rsidRDefault="00687AAF" w:rsidP="00A72992">
            <w:pPr>
              <w:jc w:val="both"/>
              <w:rPr>
                <w:rFonts w:ascii="Arial" w:hAnsi="Arial" w:cs="Arial"/>
              </w:rPr>
            </w:pPr>
            <w:r w:rsidRPr="0071557E">
              <w:rPr>
                <w:rFonts w:ascii="Arial" w:hAnsi="Arial" w:cs="Arial"/>
              </w:rPr>
              <w:t>Station 4</w:t>
            </w:r>
          </w:p>
        </w:tc>
      </w:tr>
      <w:tr w:rsidR="00687AAF" w:rsidRPr="0071557E" w:rsidTr="00A72992">
        <w:tc>
          <w:tcPr>
            <w:tcW w:w="1848" w:type="dxa"/>
            <w:tcBorders>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Taxa</w:t>
            </w:r>
          </w:p>
        </w:tc>
        <w:tc>
          <w:tcPr>
            <w:tcW w:w="1848" w:type="dxa"/>
            <w:tcBorders>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5</w:t>
            </w:r>
          </w:p>
        </w:tc>
        <w:tc>
          <w:tcPr>
            <w:tcW w:w="1848" w:type="dxa"/>
            <w:tcBorders>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6</w:t>
            </w:r>
          </w:p>
        </w:tc>
        <w:tc>
          <w:tcPr>
            <w:tcW w:w="1849" w:type="dxa"/>
            <w:tcBorders>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6</w:t>
            </w:r>
          </w:p>
        </w:tc>
        <w:tc>
          <w:tcPr>
            <w:tcW w:w="1849" w:type="dxa"/>
            <w:tcBorders>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5</w:t>
            </w:r>
          </w:p>
        </w:tc>
      </w:tr>
      <w:tr w:rsidR="00687AAF" w:rsidRPr="0071557E" w:rsidTr="00A72992">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Individuals</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183</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101</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78</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70</w:t>
            </w:r>
          </w:p>
        </w:tc>
      </w:tr>
      <w:tr w:rsidR="00687AAF" w:rsidRPr="0071557E" w:rsidTr="00A72992">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Dominance_D</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0.2537</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0.4069</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0.6128</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0.7433</w:t>
            </w:r>
          </w:p>
        </w:tc>
      </w:tr>
      <w:tr w:rsidR="00687AAF" w:rsidRPr="0071557E" w:rsidTr="00A72992">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Simpson_H</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0.7463</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0.5931</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0.3872</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0.2567</w:t>
            </w:r>
          </w:p>
        </w:tc>
      </w:tr>
      <w:tr w:rsidR="00687AAF" w:rsidRPr="0071557E" w:rsidTr="00A72992">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Shannon_H</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1.458</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1.202</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0.8088</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0.5449</w:t>
            </w:r>
          </w:p>
        </w:tc>
      </w:tr>
      <w:tr w:rsidR="00687AAF" w:rsidRPr="0071557E" w:rsidTr="00A72992">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Evenness</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0.8597</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0.5546</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0.3742</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0.4311</w:t>
            </w:r>
          </w:p>
        </w:tc>
      </w:tr>
      <w:tr w:rsidR="00687AAF" w:rsidRPr="0071557E" w:rsidTr="00A72992">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Margalef</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0.7678</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1.083</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0.7231</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0.7061</w:t>
            </w:r>
          </w:p>
        </w:tc>
      </w:tr>
      <w:tr w:rsidR="00687AAF" w:rsidRPr="0071557E" w:rsidTr="00A72992">
        <w:tc>
          <w:tcPr>
            <w:tcW w:w="1848" w:type="dxa"/>
            <w:tcBorders>
              <w:top w:val="nil"/>
              <w:left w:val="nil"/>
              <w:bottom w:val="nil"/>
              <w:right w:val="nil"/>
            </w:tcBorders>
          </w:tcPr>
          <w:p w:rsidR="00687AAF" w:rsidRPr="0071557E" w:rsidRDefault="00687AAF" w:rsidP="00A72992">
            <w:pPr>
              <w:rPr>
                <w:rFonts w:ascii="Arial" w:hAnsi="Arial" w:cs="Arial"/>
              </w:rPr>
            </w:pPr>
            <w:r w:rsidRPr="0071557E">
              <w:rPr>
                <w:rFonts w:ascii="Arial" w:hAnsi="Arial" w:cs="Arial"/>
              </w:rPr>
              <w:t>Equitability_</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0.9061</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0.671</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0.4514</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0.393</w:t>
            </w:r>
          </w:p>
        </w:tc>
      </w:tr>
      <w:tr w:rsidR="00687AAF" w:rsidRPr="0071557E" w:rsidTr="00A72992">
        <w:tc>
          <w:tcPr>
            <w:tcW w:w="1848" w:type="dxa"/>
            <w:tcBorders>
              <w:top w:val="nil"/>
              <w:left w:val="nil"/>
              <w:bottom w:val="nil"/>
              <w:right w:val="nil"/>
            </w:tcBorders>
          </w:tcPr>
          <w:p w:rsidR="00687AAF" w:rsidRPr="0071557E" w:rsidRDefault="00687AAF" w:rsidP="00A72992">
            <w:pPr>
              <w:rPr>
                <w:rFonts w:ascii="Arial" w:hAnsi="Arial" w:cs="Arial"/>
              </w:rPr>
            </w:pPr>
            <w:r w:rsidRPr="0071557E">
              <w:rPr>
                <w:rFonts w:ascii="Arial" w:hAnsi="Arial" w:cs="Arial"/>
              </w:rPr>
              <w:t>Fisher al</w:t>
            </w:r>
            <w:r w:rsidR="00AE2082">
              <w:rPr>
                <w:rFonts w:ascii="Arial" w:hAnsi="Arial" w:cs="Arial"/>
              </w:rPr>
              <w:t>pH</w:t>
            </w:r>
            <w:r w:rsidRPr="0071557E">
              <w:rPr>
                <w:rFonts w:ascii="Arial" w:hAnsi="Arial" w:cs="Arial"/>
              </w:rPr>
              <w:t>a</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0.9494</w:t>
            </w:r>
          </w:p>
        </w:tc>
        <w:tc>
          <w:tcPr>
            <w:tcW w:w="1848"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1.397</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1.515</w:t>
            </w:r>
          </w:p>
        </w:tc>
        <w:tc>
          <w:tcPr>
            <w:tcW w:w="1849" w:type="dxa"/>
            <w:tcBorders>
              <w:top w:val="nil"/>
              <w:left w:val="nil"/>
              <w:bottom w:val="nil"/>
              <w:right w:val="nil"/>
            </w:tcBorders>
          </w:tcPr>
          <w:p w:rsidR="00687AAF" w:rsidRPr="0071557E" w:rsidRDefault="00687AAF" w:rsidP="00A72992">
            <w:pPr>
              <w:jc w:val="both"/>
              <w:rPr>
                <w:rFonts w:ascii="Arial" w:hAnsi="Arial" w:cs="Arial"/>
              </w:rPr>
            </w:pPr>
            <w:r w:rsidRPr="0071557E">
              <w:rPr>
                <w:rFonts w:ascii="Arial" w:hAnsi="Arial" w:cs="Arial"/>
              </w:rPr>
              <w:t>0.9208</w:t>
            </w:r>
          </w:p>
        </w:tc>
      </w:tr>
      <w:tr w:rsidR="00687AAF" w:rsidRPr="0071557E" w:rsidTr="00A72992">
        <w:tc>
          <w:tcPr>
            <w:tcW w:w="1848" w:type="dxa"/>
            <w:tcBorders>
              <w:top w:val="nil"/>
              <w:left w:val="nil"/>
              <w:bottom w:val="single" w:sz="4" w:space="0" w:color="auto"/>
              <w:right w:val="nil"/>
            </w:tcBorders>
          </w:tcPr>
          <w:p w:rsidR="00687AAF" w:rsidRPr="0071557E" w:rsidRDefault="00687AAF" w:rsidP="00A72992">
            <w:pPr>
              <w:rPr>
                <w:rFonts w:ascii="Arial" w:hAnsi="Arial" w:cs="Arial"/>
              </w:rPr>
            </w:pPr>
            <w:r w:rsidRPr="0071557E">
              <w:rPr>
                <w:rFonts w:ascii="Arial" w:hAnsi="Arial" w:cs="Arial"/>
              </w:rPr>
              <w:t>Berger Parker</w:t>
            </w:r>
          </w:p>
        </w:tc>
        <w:tc>
          <w:tcPr>
            <w:tcW w:w="1848" w:type="dxa"/>
            <w:tcBorders>
              <w:top w:val="nil"/>
              <w:left w:val="nil"/>
              <w:bottom w:val="single" w:sz="4" w:space="0" w:color="auto"/>
              <w:right w:val="nil"/>
            </w:tcBorders>
          </w:tcPr>
          <w:p w:rsidR="00687AAF" w:rsidRPr="0071557E" w:rsidRDefault="00687AAF" w:rsidP="00A72992">
            <w:pPr>
              <w:jc w:val="both"/>
              <w:rPr>
                <w:rFonts w:ascii="Arial" w:hAnsi="Arial" w:cs="Arial"/>
              </w:rPr>
            </w:pPr>
            <w:r w:rsidRPr="0071557E">
              <w:rPr>
                <w:rFonts w:ascii="Arial" w:hAnsi="Arial" w:cs="Arial"/>
              </w:rPr>
              <w:t>0.3224</w:t>
            </w:r>
          </w:p>
        </w:tc>
        <w:tc>
          <w:tcPr>
            <w:tcW w:w="1848" w:type="dxa"/>
            <w:tcBorders>
              <w:top w:val="nil"/>
              <w:left w:val="nil"/>
              <w:bottom w:val="single" w:sz="4" w:space="0" w:color="auto"/>
              <w:right w:val="nil"/>
            </w:tcBorders>
          </w:tcPr>
          <w:p w:rsidR="00687AAF" w:rsidRPr="0071557E" w:rsidRDefault="00687AAF" w:rsidP="00A72992">
            <w:pPr>
              <w:jc w:val="both"/>
              <w:rPr>
                <w:rFonts w:ascii="Arial" w:hAnsi="Arial" w:cs="Arial"/>
              </w:rPr>
            </w:pPr>
            <w:r w:rsidRPr="0071557E">
              <w:rPr>
                <w:rFonts w:ascii="Arial" w:hAnsi="Arial" w:cs="Arial"/>
              </w:rPr>
              <w:t>0.5941</w:t>
            </w:r>
          </w:p>
        </w:tc>
        <w:tc>
          <w:tcPr>
            <w:tcW w:w="1849" w:type="dxa"/>
            <w:tcBorders>
              <w:top w:val="nil"/>
              <w:left w:val="nil"/>
              <w:bottom w:val="single" w:sz="4" w:space="0" w:color="auto"/>
              <w:right w:val="nil"/>
            </w:tcBorders>
          </w:tcPr>
          <w:p w:rsidR="00687AAF" w:rsidRPr="0071557E" w:rsidRDefault="00687AAF" w:rsidP="00A72992">
            <w:pPr>
              <w:jc w:val="both"/>
              <w:rPr>
                <w:rFonts w:ascii="Arial" w:hAnsi="Arial" w:cs="Arial"/>
              </w:rPr>
            </w:pPr>
            <w:r w:rsidRPr="0071557E">
              <w:rPr>
                <w:rFonts w:ascii="Arial" w:hAnsi="Arial" w:cs="Arial"/>
              </w:rPr>
              <w:t>0.7692</w:t>
            </w:r>
          </w:p>
        </w:tc>
        <w:tc>
          <w:tcPr>
            <w:tcW w:w="1849" w:type="dxa"/>
            <w:tcBorders>
              <w:top w:val="nil"/>
              <w:left w:val="nil"/>
              <w:bottom w:val="single" w:sz="4" w:space="0" w:color="auto"/>
              <w:right w:val="nil"/>
            </w:tcBorders>
          </w:tcPr>
          <w:p w:rsidR="00687AAF" w:rsidRPr="0071557E" w:rsidRDefault="00687AAF" w:rsidP="00A72992">
            <w:pPr>
              <w:jc w:val="both"/>
              <w:rPr>
                <w:rFonts w:ascii="Arial" w:hAnsi="Arial" w:cs="Arial"/>
              </w:rPr>
            </w:pPr>
            <w:r w:rsidRPr="0071557E">
              <w:rPr>
                <w:rFonts w:ascii="Arial" w:hAnsi="Arial" w:cs="Arial"/>
              </w:rPr>
              <w:t>0.8571</w:t>
            </w:r>
          </w:p>
        </w:tc>
      </w:tr>
    </w:tbl>
    <w:p w:rsidR="00687AAF" w:rsidRPr="002729F3" w:rsidRDefault="00687AAF" w:rsidP="00687AAF">
      <w:pPr>
        <w:jc w:val="both"/>
        <w:rPr>
          <w:rFonts w:ascii="Times New Roman" w:hAnsi="Times New Roman"/>
          <w:sz w:val="24"/>
          <w:szCs w:val="24"/>
        </w:rPr>
      </w:pPr>
    </w:p>
    <w:p w:rsidR="00687AAF" w:rsidRDefault="00687AAF" w:rsidP="00687AAF">
      <w:pPr>
        <w:pStyle w:val="Body"/>
        <w:spacing w:after="0"/>
        <w:rPr>
          <w:rFonts w:ascii="Arial" w:hAnsi="Arial" w:cs="Arial"/>
        </w:rPr>
      </w:pPr>
    </w:p>
    <w:p w:rsidR="00687AAF" w:rsidRPr="0071557E" w:rsidRDefault="00687AAF" w:rsidP="00687AAF">
      <w:pPr>
        <w:jc w:val="both"/>
        <w:rPr>
          <w:rFonts w:ascii="Arial" w:hAnsi="Arial" w:cs="Arial"/>
        </w:rPr>
      </w:pPr>
      <w:r w:rsidRPr="0071557E">
        <w:rPr>
          <w:rFonts w:ascii="Arial" w:hAnsi="Arial" w:cs="Arial"/>
        </w:rPr>
        <w:t xml:space="preserve">The higher taxa richness and abundance in Stations 1 and 2 </w:t>
      </w:r>
      <w:r w:rsidR="007A6C4B">
        <w:rPr>
          <w:rFonts w:ascii="Arial" w:hAnsi="Arial" w:cs="Arial"/>
        </w:rPr>
        <w:t>(Table 3</w:t>
      </w:r>
      <w:r w:rsidR="00CB48B8">
        <w:rPr>
          <w:rFonts w:ascii="Arial" w:hAnsi="Arial" w:cs="Arial"/>
        </w:rPr>
        <w:t>)</w:t>
      </w:r>
      <w:r w:rsidR="00CB48B8" w:rsidRPr="0071557E">
        <w:rPr>
          <w:rFonts w:ascii="Arial" w:hAnsi="Arial" w:cs="Arial"/>
        </w:rPr>
        <w:t xml:space="preserve"> suggest</w:t>
      </w:r>
      <w:r w:rsidRPr="0071557E">
        <w:rPr>
          <w:rFonts w:ascii="Arial" w:hAnsi="Arial" w:cs="Arial"/>
        </w:rPr>
        <w:t xml:space="preserve"> favorable environmental conditions, such as higher nutrient availability and stable substrates for </w:t>
      </w:r>
      <w:r w:rsidR="00A953B3">
        <w:rPr>
          <w:rFonts w:ascii="Arial" w:hAnsi="Arial" w:cs="Arial"/>
        </w:rPr>
        <w:t>periphyton</w:t>
      </w:r>
      <w:r w:rsidRPr="0071557E">
        <w:rPr>
          <w:rFonts w:ascii="Arial" w:hAnsi="Arial" w:cs="Arial"/>
        </w:rPr>
        <w:t xml:space="preserve"> </w:t>
      </w:r>
      <w:r w:rsidR="00A953B3" w:rsidRPr="0071557E">
        <w:rPr>
          <w:rFonts w:ascii="Arial" w:hAnsi="Arial" w:cs="Arial"/>
        </w:rPr>
        <w:t>attachment. The</w:t>
      </w:r>
      <w:r w:rsidRPr="0071557E">
        <w:rPr>
          <w:rFonts w:ascii="Arial" w:hAnsi="Arial" w:cs="Arial"/>
        </w:rPr>
        <w:t xml:space="preserve"> declining abundance from Stations 1 to 4 indicates environmental gradients, likely influenced by factors such as reduced nutrient levels, increased shading, or hydrodynamic stress downstream. Similar patterns have been documented in tropical freshwater systems, where peri</w:t>
      </w:r>
      <w:r w:rsidR="00A953B3">
        <w:rPr>
          <w:rFonts w:ascii="Arial" w:hAnsi="Arial" w:cs="Arial"/>
        </w:rPr>
        <w:t>ph</w:t>
      </w:r>
      <w:r w:rsidRPr="0071557E">
        <w:rPr>
          <w:rFonts w:ascii="Arial" w:hAnsi="Arial" w:cs="Arial"/>
        </w:rPr>
        <w:t>ytic algae thrive in areas with moderate nutrient enrichment</w:t>
      </w:r>
      <w:r w:rsidR="00642C81">
        <w:rPr>
          <w:rFonts w:ascii="Arial" w:hAnsi="Arial" w:cs="Arial"/>
        </w:rPr>
        <w:t xml:space="preserve"> and </w:t>
      </w:r>
      <w:r w:rsidR="00A953B3">
        <w:rPr>
          <w:rFonts w:ascii="Arial" w:hAnsi="Arial" w:cs="Arial"/>
        </w:rPr>
        <w:t>ph</w:t>
      </w:r>
      <w:r w:rsidR="00642C81">
        <w:rPr>
          <w:rFonts w:ascii="Arial" w:hAnsi="Arial" w:cs="Arial"/>
        </w:rPr>
        <w:t>ysical stability</w:t>
      </w:r>
      <w:r w:rsidR="00CB48B8">
        <w:rPr>
          <w:rFonts w:ascii="Arial" w:hAnsi="Arial" w:cs="Arial"/>
          <w:vertAlign w:val="superscript"/>
        </w:rPr>
        <w:t>5</w:t>
      </w:r>
      <w:r w:rsidRPr="0071557E">
        <w:rPr>
          <w:rFonts w:ascii="Arial" w:hAnsi="Arial" w:cs="Arial"/>
        </w:rPr>
        <w:t>.</w:t>
      </w:r>
      <w:r w:rsidRPr="0071557E">
        <w:rPr>
          <w:rFonts w:ascii="Arial" w:hAnsi="Arial" w:cs="Arial"/>
          <w:lang w:eastAsia="en-GB"/>
        </w:rPr>
        <w:t>Dominance increased from Station 1 (0.2537) to Station 4 (0.7433), indicating a shift towards communities dominated by fewer, more competitive species downstream. This increase in dominance may result from environmental stressors, such as nutrient depletion or habitat fragmentation, reducing the ability of less competitive species to</w:t>
      </w:r>
      <w:r w:rsidR="007A6C4B">
        <w:rPr>
          <w:rFonts w:ascii="Arial" w:hAnsi="Arial" w:cs="Arial"/>
          <w:lang w:eastAsia="en-GB"/>
        </w:rPr>
        <w:t xml:space="preserve"> persist</w:t>
      </w:r>
      <w:r w:rsidR="00CB48B8">
        <w:rPr>
          <w:rFonts w:ascii="Arial" w:hAnsi="Arial" w:cs="Arial"/>
          <w:vertAlign w:val="superscript"/>
          <w:lang w:eastAsia="en-GB"/>
        </w:rPr>
        <w:t>33</w:t>
      </w:r>
      <w:r w:rsidRPr="0071557E">
        <w:rPr>
          <w:rFonts w:ascii="Arial" w:hAnsi="Arial" w:cs="Arial"/>
          <w:lang w:eastAsia="en-GB"/>
        </w:rPr>
        <w:t xml:space="preserve">. </w:t>
      </w:r>
      <w:r w:rsidRPr="0071557E">
        <w:rPr>
          <w:rFonts w:ascii="Arial" w:hAnsi="Arial" w:cs="Arial"/>
        </w:rPr>
        <w:t>Simpson’s diversity decreases from Station 1 (0.7463) to Station 4 (0.2567), reflecting reduced species diversity downstream. Higher diversity in Station 1 suggests greater environmental heterogeneity and nich</w:t>
      </w:r>
      <w:r w:rsidR="007A6C4B">
        <w:rPr>
          <w:rFonts w:ascii="Arial" w:hAnsi="Arial" w:cs="Arial"/>
        </w:rPr>
        <w:t>e availability</w:t>
      </w:r>
      <w:r w:rsidR="00CB48B8">
        <w:rPr>
          <w:rFonts w:ascii="Arial" w:hAnsi="Arial" w:cs="Arial"/>
          <w:vertAlign w:val="superscript"/>
        </w:rPr>
        <w:t>48</w:t>
      </w:r>
      <w:r w:rsidRPr="0071557E">
        <w:rPr>
          <w:rFonts w:ascii="Arial" w:hAnsi="Arial" w:cs="Arial"/>
        </w:rPr>
        <w:t>.</w:t>
      </w:r>
    </w:p>
    <w:p w:rsidR="00A953B3" w:rsidRDefault="00687AAF" w:rsidP="00A953B3">
      <w:pPr>
        <w:spacing w:before="100" w:beforeAutospacing="1" w:after="100" w:afterAutospacing="1"/>
        <w:jc w:val="both"/>
        <w:rPr>
          <w:rFonts w:ascii="Arial" w:hAnsi="Arial" w:cs="Arial"/>
        </w:rPr>
        <w:sectPr w:rsidR="00A953B3" w:rsidSect="00275BBC">
          <w:pgSz w:w="12240" w:h="15840"/>
          <w:pgMar w:top="1440" w:right="2016" w:bottom="2016" w:left="2016" w:header="720" w:footer="1123" w:gutter="0"/>
          <w:cols w:space="720"/>
          <w:docGrid w:linePitch="272"/>
        </w:sectPr>
      </w:pPr>
      <w:r w:rsidRPr="0071557E">
        <w:rPr>
          <w:rFonts w:ascii="Arial" w:hAnsi="Arial" w:cs="Arial"/>
        </w:rPr>
        <w:t xml:space="preserve">Shannon-Wiener </w:t>
      </w:r>
      <w:r w:rsidR="007A6C4B" w:rsidRPr="0071557E">
        <w:rPr>
          <w:rFonts w:ascii="Arial" w:hAnsi="Arial" w:cs="Arial"/>
        </w:rPr>
        <w:t>values</w:t>
      </w:r>
      <w:r w:rsidR="007A6C4B">
        <w:rPr>
          <w:rFonts w:ascii="Arial" w:hAnsi="Arial" w:cs="Arial"/>
        </w:rPr>
        <w:t xml:space="preserve"> (Table 3)</w:t>
      </w:r>
      <w:r w:rsidRPr="0071557E">
        <w:rPr>
          <w:rFonts w:ascii="Arial" w:hAnsi="Arial" w:cs="Arial"/>
        </w:rPr>
        <w:t xml:space="preserve"> decrease from Station 1 (1.458) to Station 4 (0.5449), consistent with declining taxa richness and evenness. High Shannon-Wiener indices are often associated with stable, nutrient-rich environments, while lower values indicate stress, pollution, or habitat degradati</w:t>
      </w:r>
      <w:r w:rsidR="007A6C4B">
        <w:rPr>
          <w:rFonts w:ascii="Arial" w:hAnsi="Arial" w:cs="Arial"/>
        </w:rPr>
        <w:t>on</w:t>
      </w:r>
      <w:r w:rsidR="00CB48B8">
        <w:rPr>
          <w:rFonts w:ascii="Arial" w:hAnsi="Arial" w:cs="Arial"/>
          <w:vertAlign w:val="superscript"/>
        </w:rPr>
        <w:t>46</w:t>
      </w:r>
      <w:r w:rsidRPr="0071557E">
        <w:rPr>
          <w:rFonts w:ascii="Arial" w:hAnsi="Arial" w:cs="Arial"/>
        </w:rPr>
        <w:t>. Evenness decreases significantly from Station 1 (0.8597) to Station 3 (0.3742), with a slight increase in Station 4 (0.4311). Station 1 exhibits a more balanced distribution of taxa, while Stations 3 and 4 are dominated by a few species, likely due to environmental filtering, such as higher conductivity or reduced light penetration</w:t>
      </w:r>
      <w:r w:rsidR="007A6C4B">
        <w:rPr>
          <w:rFonts w:ascii="Arial" w:hAnsi="Arial" w:cs="Arial"/>
          <w:vertAlign w:val="superscript"/>
        </w:rPr>
        <w:t>1</w:t>
      </w:r>
      <w:r w:rsidR="00CB48B8">
        <w:rPr>
          <w:rFonts w:ascii="Arial" w:hAnsi="Arial" w:cs="Arial"/>
          <w:vertAlign w:val="superscript"/>
        </w:rPr>
        <w:t>7</w:t>
      </w:r>
      <w:r w:rsidRPr="0071557E">
        <w:rPr>
          <w:rFonts w:ascii="Arial" w:hAnsi="Arial" w:cs="Arial"/>
        </w:rPr>
        <w:t xml:space="preserve">. The Margalef index is highest in Station 2 (1.083) and lowest in Station 4 (0.7061) which indicates </w:t>
      </w:r>
      <w:r w:rsidR="00A953B3" w:rsidRPr="0071557E">
        <w:rPr>
          <w:rFonts w:ascii="Arial" w:hAnsi="Arial" w:cs="Arial"/>
        </w:rPr>
        <w:t>that Station</w:t>
      </w:r>
      <w:r w:rsidRPr="0071557E">
        <w:rPr>
          <w:rFonts w:ascii="Arial" w:hAnsi="Arial" w:cs="Arial"/>
        </w:rPr>
        <w:t xml:space="preserve"> 2’s higher Margalef value suggests a diverse community structure, possibly driven by moderate nutrient availability and stable flow conditions. Conversely, Station 4’s low value reflects reduced habitat complexity and harsher conditions.  The Berger-Parker index</w:t>
      </w:r>
      <w:r w:rsidR="007A6C4B">
        <w:rPr>
          <w:rFonts w:ascii="Arial" w:hAnsi="Arial" w:cs="Arial"/>
        </w:rPr>
        <w:t xml:space="preserve"> (Table 3</w:t>
      </w:r>
      <w:r w:rsidR="00966A11">
        <w:rPr>
          <w:rFonts w:ascii="Arial" w:hAnsi="Arial" w:cs="Arial"/>
        </w:rPr>
        <w:t>)</w:t>
      </w:r>
      <w:r w:rsidR="00966A11" w:rsidRPr="0071557E">
        <w:rPr>
          <w:rFonts w:ascii="Arial" w:hAnsi="Arial" w:cs="Arial"/>
        </w:rPr>
        <w:t xml:space="preserve"> increases</w:t>
      </w:r>
      <w:r w:rsidRPr="0071557E">
        <w:rPr>
          <w:rFonts w:ascii="Arial" w:hAnsi="Arial" w:cs="Arial"/>
        </w:rPr>
        <w:t xml:space="preserve"> from Station 1 (0.3224) to Station 4 (0.8571), indicating growing dominance by a single species downstream. This reflects a loss of community balance and biodiversity, often associated with anthropogenic pressures or altered water quality</w:t>
      </w:r>
      <w:r w:rsidR="00CB48B8">
        <w:rPr>
          <w:rFonts w:ascii="Arial" w:hAnsi="Arial" w:cs="Arial"/>
          <w:vertAlign w:val="superscript"/>
        </w:rPr>
        <w:t>2</w:t>
      </w:r>
      <w:r w:rsidRPr="0071557E">
        <w:rPr>
          <w:rFonts w:ascii="Arial" w:hAnsi="Arial" w:cs="Arial"/>
        </w:rPr>
        <w:t>.</w:t>
      </w:r>
    </w:p>
    <w:p w:rsidR="00687AAF" w:rsidRDefault="00687AAF" w:rsidP="00687AAF">
      <w:pPr>
        <w:spacing w:before="100" w:beforeAutospacing="1" w:after="100" w:afterAutospacing="1"/>
        <w:jc w:val="both"/>
        <w:rPr>
          <w:rFonts w:ascii="Arial" w:hAnsi="Arial" w:cs="Arial"/>
        </w:rPr>
      </w:pPr>
      <w:r w:rsidRPr="002A76D3">
        <w:rPr>
          <w:rFonts w:ascii="Arial" w:hAnsi="Arial" w:cs="Arial"/>
          <w:noProof/>
          <w:lang w:val="en-GB" w:eastAsia="en-GB"/>
        </w:rPr>
        <w:lastRenderedPageBreak/>
        <w:drawing>
          <wp:inline distT="0" distB="0" distL="0" distR="0">
            <wp:extent cx="8448675" cy="4663096"/>
            <wp:effectExtent l="19050" t="0" r="9525" b="0"/>
            <wp:docPr id="6" name="Picture 3" descr="C:\Users\imedimfon1\Documents\P.hD folder\MY P.HD THESIS\P.HD\Ph.D Publication folder\Statistical Analysis\CCA RESULT.jpg"/>
            <wp:cNvGraphicFramePr/>
            <a:graphic xmlns:a="http://schemas.openxmlformats.org/drawingml/2006/main">
              <a:graphicData uri="http://schemas.openxmlformats.org/drawingml/2006/picture">
                <pic:pic xmlns:pic="http://schemas.openxmlformats.org/drawingml/2006/picture">
                  <pic:nvPicPr>
                    <pic:cNvPr id="0" name="Picture 4" descr="C:\Users\imedimfon1\Documents\P.hD folder\MY P.HD THESIS\P.HD\Ph.D Publication folder\Statistical Analysis\CCA RESULT.jpg"/>
                    <pic:cNvPicPr>
                      <a:picLocks noChangeAspect="1" noChangeArrowheads="1"/>
                    </pic:cNvPicPr>
                  </pic:nvPicPr>
                  <pic:blipFill>
                    <a:blip r:embed="rId18"/>
                    <a:srcRect/>
                    <a:stretch>
                      <a:fillRect/>
                    </a:stretch>
                  </pic:blipFill>
                  <pic:spPr bwMode="auto">
                    <a:xfrm>
                      <a:off x="0" y="0"/>
                      <a:ext cx="8448675" cy="4663096"/>
                    </a:xfrm>
                    <a:prstGeom prst="rect">
                      <a:avLst/>
                    </a:prstGeom>
                    <a:ln>
                      <a:noFill/>
                    </a:ln>
                    <a:effectLst>
                      <a:softEdge rad="112500"/>
                    </a:effectLst>
                  </pic:spPr>
                </pic:pic>
              </a:graphicData>
            </a:graphic>
          </wp:inline>
        </w:drawing>
      </w:r>
    </w:p>
    <w:p w:rsidR="00687AAF" w:rsidRDefault="00687AAF" w:rsidP="00687AAF">
      <w:pPr>
        <w:pStyle w:val="Body"/>
        <w:spacing w:after="0"/>
        <w:rPr>
          <w:rFonts w:ascii="Arial" w:hAnsi="Arial" w:cs="Arial"/>
          <w:lang w:val="en-GB"/>
        </w:rPr>
        <w:sectPr w:rsidR="00687AAF" w:rsidSect="00275BBC">
          <w:pgSz w:w="15840" w:h="12240" w:orient="landscape"/>
          <w:pgMar w:top="2016" w:right="1440" w:bottom="2016" w:left="2016" w:header="720" w:footer="1123" w:gutter="0"/>
          <w:cols w:space="720"/>
          <w:docGrid w:linePitch="272"/>
        </w:sectPr>
      </w:pPr>
      <w:r>
        <w:rPr>
          <w:rFonts w:ascii="Arial" w:hAnsi="Arial" w:cs="Arial"/>
          <w:lang w:val="en-GB"/>
        </w:rPr>
        <w:t>Figure 2</w:t>
      </w:r>
      <w:r w:rsidRPr="00911EA5">
        <w:rPr>
          <w:rFonts w:ascii="Arial" w:hAnsi="Arial" w:cs="Arial"/>
          <w:lang w:val="en-GB"/>
        </w:rPr>
        <w:t xml:space="preserve">: Biplot of first two axis of canonical correspondence analysis for </w:t>
      </w:r>
      <w:r w:rsidR="00A90485">
        <w:rPr>
          <w:rFonts w:ascii="Arial" w:hAnsi="Arial" w:cs="Arial"/>
          <w:lang w:val="en-GB"/>
        </w:rPr>
        <w:t>macrophyte</w:t>
      </w:r>
      <w:r w:rsidRPr="00911EA5">
        <w:rPr>
          <w:rFonts w:ascii="Arial" w:hAnsi="Arial" w:cs="Arial"/>
          <w:lang w:val="en-GB"/>
        </w:rPr>
        <w:t xml:space="preserve"> species abundance and surface water variables.</w:t>
      </w:r>
    </w:p>
    <w:p w:rsidR="00687AAF" w:rsidRPr="00911EA5" w:rsidRDefault="00687AAF" w:rsidP="00687AAF">
      <w:pPr>
        <w:pStyle w:val="Body"/>
        <w:spacing w:after="0"/>
        <w:rPr>
          <w:rFonts w:ascii="Arial" w:hAnsi="Arial" w:cs="Arial"/>
          <w:lang w:val="en-GB"/>
        </w:rPr>
      </w:pPr>
    </w:p>
    <w:p w:rsidR="00687AAF" w:rsidRPr="00F638AC" w:rsidRDefault="00687AAF" w:rsidP="004E29DE">
      <w:pPr>
        <w:pStyle w:val="Body"/>
        <w:spacing w:after="0"/>
        <w:rPr>
          <w:rFonts w:ascii="Arial" w:hAnsi="Arial" w:cs="Arial"/>
        </w:rPr>
      </w:pPr>
      <w:r w:rsidRPr="00911EA5">
        <w:rPr>
          <w:rFonts w:ascii="Arial" w:hAnsi="Arial" w:cs="Arial"/>
        </w:rPr>
        <w:t xml:space="preserve">The CCA analysis for surface water showed that DO, </w:t>
      </w:r>
      <w:r w:rsidR="001000DD">
        <w:rPr>
          <w:rFonts w:ascii="Arial" w:hAnsi="Arial" w:cs="Arial"/>
        </w:rPr>
        <w:t>phosphate</w:t>
      </w:r>
      <w:r w:rsidRPr="00911EA5">
        <w:rPr>
          <w:rFonts w:ascii="Arial" w:hAnsi="Arial" w:cs="Arial"/>
        </w:rPr>
        <w:t xml:space="preserve">, TSS, BOD were negatively associated with </w:t>
      </w:r>
      <w:r w:rsidRPr="00911EA5">
        <w:rPr>
          <w:rFonts w:ascii="Arial" w:hAnsi="Arial" w:cs="Arial"/>
          <w:i/>
        </w:rPr>
        <w:t>Pontederia</w:t>
      </w:r>
      <w:r w:rsidRPr="00911EA5">
        <w:rPr>
          <w:rFonts w:ascii="Arial" w:hAnsi="Arial" w:cs="Arial"/>
        </w:rPr>
        <w:t xml:space="preserve"> crassipes(formerly </w:t>
      </w:r>
      <w:r w:rsidRPr="00911EA5">
        <w:rPr>
          <w:rFonts w:ascii="Arial" w:hAnsi="Arial" w:cs="Arial"/>
          <w:i/>
        </w:rPr>
        <w:t>Eichhornia crassipes</w:t>
      </w:r>
      <w:r w:rsidRPr="00911EA5">
        <w:rPr>
          <w:rFonts w:ascii="Arial" w:hAnsi="Arial" w:cs="Arial"/>
        </w:rPr>
        <w:t xml:space="preserve">)and </w:t>
      </w:r>
      <w:r w:rsidRPr="00911EA5">
        <w:rPr>
          <w:rFonts w:ascii="Arial" w:hAnsi="Arial" w:cs="Arial"/>
          <w:i/>
        </w:rPr>
        <w:t>Ipomea aquatic</w:t>
      </w:r>
      <w:r w:rsidR="00A953B3">
        <w:rPr>
          <w:rFonts w:ascii="Arial" w:hAnsi="Arial" w:cs="Arial"/>
          <w:i/>
        </w:rPr>
        <w:t>a</w:t>
      </w:r>
      <w:r w:rsidRPr="00911EA5">
        <w:rPr>
          <w:rFonts w:ascii="Arial" w:hAnsi="Arial" w:cs="Arial"/>
        </w:rPr>
        <w:t xml:space="preserve"> while magnesium, MgCO3 showed positive association with </w:t>
      </w:r>
      <w:r w:rsidRPr="00911EA5">
        <w:rPr>
          <w:rFonts w:ascii="Arial" w:hAnsi="Arial" w:cs="Arial"/>
          <w:i/>
        </w:rPr>
        <w:t>V. cuspidata</w:t>
      </w:r>
      <w:r w:rsidRPr="00911EA5">
        <w:rPr>
          <w:rFonts w:ascii="Arial" w:hAnsi="Arial" w:cs="Arial"/>
        </w:rPr>
        <w:t xml:space="preserve"> also conductivity, CaCO3, temperature, nitrate and alkalinity showed positive association with </w:t>
      </w:r>
      <w:r w:rsidR="00A90485" w:rsidRPr="00A90485">
        <w:rPr>
          <w:rFonts w:ascii="Arial" w:hAnsi="Arial" w:cs="Arial"/>
          <w:i/>
        </w:rPr>
        <w:t>Ceratophyllum</w:t>
      </w:r>
      <w:r w:rsidRPr="00911EA5">
        <w:rPr>
          <w:rFonts w:ascii="Arial" w:hAnsi="Arial" w:cs="Arial"/>
          <w:i/>
        </w:rPr>
        <w:t xml:space="preserve"> demersum</w:t>
      </w:r>
      <w:r w:rsidRPr="00911EA5">
        <w:rPr>
          <w:rFonts w:ascii="Arial" w:hAnsi="Arial" w:cs="Arial"/>
        </w:rPr>
        <w:t xml:space="preserve"> and </w:t>
      </w:r>
      <w:r w:rsidRPr="00911EA5">
        <w:rPr>
          <w:rFonts w:ascii="Arial" w:hAnsi="Arial" w:cs="Arial"/>
          <w:i/>
        </w:rPr>
        <w:t>Pistia stratiotes</w:t>
      </w:r>
      <w:r w:rsidRPr="00911EA5">
        <w:rPr>
          <w:rFonts w:ascii="Arial" w:hAnsi="Arial" w:cs="Arial"/>
        </w:rPr>
        <w:t xml:space="preserve"> (Fig </w:t>
      </w:r>
      <w:r>
        <w:rPr>
          <w:rFonts w:ascii="Arial" w:hAnsi="Arial" w:cs="Arial"/>
          <w:lang w:val="en-GB"/>
        </w:rPr>
        <w:t>2</w:t>
      </w:r>
      <w:r w:rsidRPr="00911EA5">
        <w:rPr>
          <w:rFonts w:ascii="Arial" w:hAnsi="Arial" w:cs="Arial"/>
        </w:rPr>
        <w:t xml:space="preserve">).. Heavy metals such as zinc, chromium, nickel and manganese showed positive association </w:t>
      </w:r>
      <w:r w:rsidR="00A90485" w:rsidRPr="00A90485">
        <w:rPr>
          <w:rFonts w:ascii="Arial" w:hAnsi="Arial" w:cs="Arial"/>
          <w:i/>
        </w:rPr>
        <w:t>Ceratophyllum</w:t>
      </w:r>
      <w:r w:rsidR="00A953B3">
        <w:rPr>
          <w:rFonts w:ascii="Arial" w:hAnsi="Arial" w:cs="Arial"/>
          <w:i/>
        </w:rPr>
        <w:t xml:space="preserve"> </w:t>
      </w:r>
      <w:r w:rsidRPr="00911EA5">
        <w:rPr>
          <w:rFonts w:ascii="Arial" w:hAnsi="Arial" w:cs="Arial"/>
          <w:i/>
        </w:rPr>
        <w:t>demersum</w:t>
      </w:r>
      <w:r w:rsidRPr="00911EA5">
        <w:rPr>
          <w:rFonts w:ascii="Arial" w:hAnsi="Arial" w:cs="Arial"/>
        </w:rPr>
        <w:t xml:space="preserve"> and </w:t>
      </w:r>
      <w:r w:rsidRPr="00911EA5">
        <w:rPr>
          <w:rFonts w:ascii="Arial" w:hAnsi="Arial" w:cs="Arial"/>
          <w:i/>
        </w:rPr>
        <w:t>Pistia</w:t>
      </w:r>
      <w:r w:rsidR="00A953B3">
        <w:rPr>
          <w:rFonts w:ascii="Arial" w:hAnsi="Arial" w:cs="Arial"/>
          <w:i/>
        </w:rPr>
        <w:t xml:space="preserve"> </w:t>
      </w:r>
      <w:r w:rsidRPr="00911EA5">
        <w:rPr>
          <w:rFonts w:ascii="Arial" w:hAnsi="Arial" w:cs="Arial"/>
          <w:i/>
        </w:rPr>
        <w:t>stratiotes</w:t>
      </w:r>
      <w:r w:rsidRPr="00911EA5">
        <w:rPr>
          <w:rFonts w:ascii="Arial" w:hAnsi="Arial" w:cs="Arial"/>
        </w:rPr>
        <w:t xml:space="preserve"> while copper and cadmium showed negative association with </w:t>
      </w:r>
      <w:r w:rsidRPr="00911EA5">
        <w:rPr>
          <w:rFonts w:ascii="Arial" w:hAnsi="Arial" w:cs="Arial"/>
          <w:i/>
        </w:rPr>
        <w:t>Pontederia</w:t>
      </w:r>
      <w:r w:rsidRPr="00911EA5">
        <w:rPr>
          <w:rFonts w:ascii="Arial" w:hAnsi="Arial" w:cs="Arial"/>
        </w:rPr>
        <w:t xml:space="preserve"> crassipes (formerly </w:t>
      </w:r>
      <w:r w:rsidRPr="00911EA5">
        <w:rPr>
          <w:rFonts w:ascii="Arial" w:hAnsi="Arial" w:cs="Arial"/>
          <w:i/>
        </w:rPr>
        <w:t>Eichhornia crassipes</w:t>
      </w:r>
      <w:r w:rsidRPr="00911EA5">
        <w:rPr>
          <w:rFonts w:ascii="Arial" w:hAnsi="Arial" w:cs="Arial"/>
        </w:rPr>
        <w:t xml:space="preserve">) and </w:t>
      </w:r>
      <w:r w:rsidRPr="00911EA5">
        <w:rPr>
          <w:rFonts w:ascii="Arial" w:hAnsi="Arial" w:cs="Arial"/>
          <w:i/>
        </w:rPr>
        <w:t>Ipomea</w:t>
      </w:r>
      <w:r w:rsidR="00A953B3">
        <w:rPr>
          <w:rFonts w:ascii="Arial" w:hAnsi="Arial" w:cs="Arial"/>
          <w:i/>
        </w:rPr>
        <w:t xml:space="preserve"> </w:t>
      </w:r>
      <w:r w:rsidRPr="00911EA5">
        <w:rPr>
          <w:rFonts w:ascii="Arial" w:hAnsi="Arial" w:cs="Arial"/>
          <w:i/>
        </w:rPr>
        <w:t>aquatica</w:t>
      </w:r>
      <w:r>
        <w:rPr>
          <w:rFonts w:ascii="Arial" w:hAnsi="Arial" w:cs="Arial"/>
        </w:rPr>
        <w:t xml:space="preserve"> (Fig 2</w:t>
      </w:r>
      <w:r w:rsidRPr="00911EA5">
        <w:rPr>
          <w:rFonts w:ascii="Arial" w:hAnsi="Arial" w:cs="Arial"/>
        </w:rPr>
        <w:t xml:space="preserve">).  </w:t>
      </w:r>
      <w:r w:rsidRPr="00F638AC">
        <w:rPr>
          <w:rFonts w:ascii="Arial" w:hAnsi="Arial" w:cs="Arial"/>
        </w:rPr>
        <w:t xml:space="preserve">Notably, the positive correlation </w:t>
      </w:r>
      <w:r>
        <w:rPr>
          <w:rFonts w:ascii="Arial" w:hAnsi="Arial" w:cs="Arial"/>
        </w:rPr>
        <w:t xml:space="preserve">between </w:t>
      </w:r>
      <w:r w:rsidRPr="00F638AC">
        <w:rPr>
          <w:rFonts w:ascii="Arial" w:hAnsi="Arial" w:cs="Arial"/>
        </w:rPr>
        <w:t xml:space="preserve">Total dissolved solid and </w:t>
      </w:r>
      <w:r w:rsidR="00A90485">
        <w:rPr>
          <w:rFonts w:ascii="Arial" w:hAnsi="Arial" w:cs="Arial"/>
        </w:rPr>
        <w:t>macrophyte</w:t>
      </w:r>
      <w:r w:rsidRPr="00F638AC">
        <w:rPr>
          <w:rFonts w:ascii="Arial" w:hAnsi="Arial" w:cs="Arial"/>
        </w:rPr>
        <w:t xml:space="preserve"> diversity suggests that the humic nature of the Eniong River may limit the growth of some </w:t>
      </w:r>
      <w:r w:rsidR="00A90485">
        <w:rPr>
          <w:rFonts w:ascii="Arial" w:hAnsi="Arial" w:cs="Arial"/>
        </w:rPr>
        <w:t>macrophyte</w:t>
      </w:r>
      <w:r w:rsidRPr="00F638AC">
        <w:rPr>
          <w:rFonts w:ascii="Arial" w:hAnsi="Arial" w:cs="Arial"/>
        </w:rPr>
        <w:t xml:space="preserve"> species, possibly due to light attenuation and altered nutrient dynamics. This finding aligns with research by Reitsema</w:t>
      </w:r>
      <w:r w:rsidR="00CB48B8">
        <w:rPr>
          <w:rFonts w:ascii="Arial" w:hAnsi="Arial" w:cs="Arial"/>
          <w:vertAlign w:val="superscript"/>
        </w:rPr>
        <w:t>32</w:t>
      </w:r>
      <w:r w:rsidRPr="00F638AC">
        <w:rPr>
          <w:rFonts w:ascii="Arial" w:hAnsi="Arial" w:cs="Arial"/>
        </w:rPr>
        <w:t xml:space="preserve"> on the effects of humic substances on aquatic plant communities in boreal lakes. However, the role of humic substances in aquatic ecosystems is multifaceted. While they may limit primary production through light attenuation, humic substances can also serve as a carbon source for heterotro</w:t>
      </w:r>
      <w:r w:rsidR="00A953B3">
        <w:rPr>
          <w:rFonts w:ascii="Arial" w:hAnsi="Arial" w:cs="Arial"/>
        </w:rPr>
        <w:t>ph</w:t>
      </w:r>
      <w:r w:rsidRPr="00F638AC">
        <w:rPr>
          <w:rFonts w:ascii="Arial" w:hAnsi="Arial" w:cs="Arial"/>
        </w:rPr>
        <w:t>ic organisms and influence food web dynamics. This dual role aligns with the concepts presented by Solomon</w:t>
      </w:r>
      <w:r w:rsidR="00CB48B8">
        <w:rPr>
          <w:rFonts w:ascii="Arial" w:hAnsi="Arial" w:cs="Arial"/>
          <w:vertAlign w:val="superscript"/>
        </w:rPr>
        <w:t>41</w:t>
      </w:r>
      <w:r w:rsidRPr="00F638AC">
        <w:rPr>
          <w:rFonts w:ascii="Arial" w:hAnsi="Arial" w:cs="Arial"/>
        </w:rPr>
        <w:t xml:space="preserve"> in their review of the ecological consequences of dissolved organic carbon in freshwater ecosystems. Furthermore, humic substances may alter nutrient dynamics by forming complexes with </w:t>
      </w:r>
      <w:r w:rsidR="001000DD">
        <w:rPr>
          <w:rFonts w:ascii="Arial" w:hAnsi="Arial" w:cs="Arial"/>
        </w:rPr>
        <w:t>Phosphorus</w:t>
      </w:r>
      <w:r w:rsidRPr="00F638AC">
        <w:rPr>
          <w:rFonts w:ascii="Arial" w:hAnsi="Arial" w:cs="Arial"/>
        </w:rPr>
        <w:t xml:space="preserve"> and trace metals, potentially affecting their bioavailability. This </w:t>
      </w:r>
      <w:r w:rsidR="00A953B3">
        <w:rPr>
          <w:rFonts w:ascii="Arial" w:hAnsi="Arial" w:cs="Arial"/>
        </w:rPr>
        <w:t>ph</w:t>
      </w:r>
      <w:r w:rsidRPr="00F638AC">
        <w:rPr>
          <w:rFonts w:ascii="Arial" w:hAnsi="Arial" w:cs="Arial"/>
        </w:rPr>
        <w:t>enomenon, described by Brinkmann</w:t>
      </w:r>
      <w:r w:rsidR="00CB48B8">
        <w:rPr>
          <w:rFonts w:ascii="Arial" w:hAnsi="Arial" w:cs="Arial"/>
          <w:vertAlign w:val="superscript"/>
        </w:rPr>
        <w:t>6</w:t>
      </w:r>
      <w:r w:rsidRPr="00F638AC">
        <w:rPr>
          <w:rFonts w:ascii="Arial" w:hAnsi="Arial" w:cs="Arial"/>
        </w:rPr>
        <w:t>, could explain some of the observed patterns in nutrient limitation and community composition in the Eniong River.</w:t>
      </w:r>
    </w:p>
    <w:p w:rsidR="00687AAF" w:rsidRPr="00F638AC" w:rsidRDefault="00687AAF" w:rsidP="00687AAF">
      <w:pPr>
        <w:jc w:val="both"/>
        <w:rPr>
          <w:rFonts w:ascii="Arial" w:hAnsi="Arial" w:cs="Arial"/>
        </w:rPr>
      </w:pPr>
      <w:r w:rsidRPr="00F638AC">
        <w:rPr>
          <w:rFonts w:ascii="Arial" w:hAnsi="Arial" w:cs="Arial"/>
        </w:rPr>
        <w:t>The influence of humic substances on ecosystem functioning in the Eniong River aligns with observations from boreal humic lakes, as described by Tranvik</w:t>
      </w:r>
      <w:r w:rsidR="00CB48B8">
        <w:rPr>
          <w:rFonts w:ascii="Arial" w:hAnsi="Arial" w:cs="Arial"/>
          <w:vertAlign w:val="superscript"/>
        </w:rPr>
        <w:t>44</w:t>
      </w:r>
      <w:r w:rsidRPr="00F638AC">
        <w:rPr>
          <w:rFonts w:ascii="Arial" w:hAnsi="Arial" w:cs="Arial"/>
        </w:rPr>
        <w:t xml:space="preserve">. However, the higher temperatures and more stable hydrological conditions in our tropical system may lead to faster processing of organic matter and potentially different carbon cycling dynamics. In terms of nutrient dynamics, the Eniong River shows some similarities with humic rivers in Southeast Asia, as described by </w:t>
      </w:r>
      <w:r w:rsidR="00CB48B8">
        <w:rPr>
          <w:rFonts w:ascii="Arial" w:hAnsi="Arial" w:cs="Arial"/>
        </w:rPr>
        <w:t>Dalu</w:t>
      </w:r>
      <w:r w:rsidR="00CB48B8">
        <w:rPr>
          <w:rFonts w:ascii="Arial" w:hAnsi="Arial" w:cs="Arial"/>
          <w:vertAlign w:val="superscript"/>
        </w:rPr>
        <w:t>11</w:t>
      </w:r>
      <w:r w:rsidRPr="00F638AC">
        <w:rPr>
          <w:rFonts w:ascii="Arial" w:hAnsi="Arial" w:cs="Arial"/>
        </w:rPr>
        <w:t>. However, the specific patterns of nutrient limitation and their influence on community composition may differ due to local geological and anthropogenic factors.</w:t>
      </w:r>
    </w:p>
    <w:p w:rsidR="00687AAF" w:rsidRPr="00F638AC" w:rsidRDefault="00687AAF" w:rsidP="00687AAF">
      <w:pPr>
        <w:jc w:val="both"/>
        <w:rPr>
          <w:rFonts w:ascii="Arial" w:hAnsi="Arial" w:cs="Arial"/>
        </w:rPr>
      </w:pPr>
      <w:r w:rsidRPr="00F638AC">
        <w:rPr>
          <w:rFonts w:ascii="Arial" w:hAnsi="Arial" w:cs="Arial"/>
          <w:lang w:eastAsia="en-GB"/>
        </w:rPr>
        <w:t xml:space="preserve">One of the most significant drivers of changes in </w:t>
      </w:r>
      <w:r w:rsidR="00A90485">
        <w:rPr>
          <w:rFonts w:ascii="Arial" w:hAnsi="Arial" w:cs="Arial"/>
          <w:lang w:eastAsia="en-GB"/>
        </w:rPr>
        <w:t>macrophyte</w:t>
      </w:r>
      <w:r w:rsidRPr="00F638AC">
        <w:rPr>
          <w:rFonts w:ascii="Arial" w:hAnsi="Arial" w:cs="Arial"/>
          <w:lang w:eastAsia="en-GB"/>
        </w:rPr>
        <w:t xml:space="preserve"> species composition and diversity is nutrient pollution, particularly eutro</w:t>
      </w:r>
      <w:r w:rsidR="00A953B3">
        <w:rPr>
          <w:rFonts w:ascii="Arial" w:hAnsi="Arial" w:cs="Arial"/>
          <w:lang w:eastAsia="en-GB"/>
        </w:rPr>
        <w:t>ph</w:t>
      </w:r>
      <w:r w:rsidRPr="00F638AC">
        <w:rPr>
          <w:rFonts w:ascii="Arial" w:hAnsi="Arial" w:cs="Arial"/>
          <w:lang w:eastAsia="en-GB"/>
        </w:rPr>
        <w:t xml:space="preserve">ication caused by excessive inputs of nitrogen and </w:t>
      </w:r>
      <w:r w:rsidR="001000DD">
        <w:rPr>
          <w:rFonts w:ascii="Arial" w:hAnsi="Arial" w:cs="Arial"/>
          <w:lang w:eastAsia="en-GB"/>
        </w:rPr>
        <w:t>Phosphorus</w:t>
      </w:r>
      <w:r w:rsidRPr="00F638AC">
        <w:rPr>
          <w:rFonts w:ascii="Arial" w:hAnsi="Arial" w:cs="Arial"/>
          <w:lang w:eastAsia="en-GB"/>
        </w:rPr>
        <w:t xml:space="preserve"> from agricultural runoff, wastewater discharge, an</w:t>
      </w:r>
      <w:r w:rsidR="00A953B3">
        <w:rPr>
          <w:rFonts w:ascii="Arial" w:hAnsi="Arial" w:cs="Arial"/>
          <w:lang w:eastAsia="en-GB"/>
        </w:rPr>
        <w:t>d industrial effluents. Increased</w:t>
      </w:r>
      <w:r w:rsidRPr="00F638AC">
        <w:rPr>
          <w:rFonts w:ascii="Arial" w:hAnsi="Arial" w:cs="Arial"/>
          <w:lang w:eastAsia="en-GB"/>
        </w:rPr>
        <w:t xml:space="preserve"> nutrient levels promote the growth of fast-growing, nutrient-tolerant species like </w:t>
      </w:r>
      <w:r w:rsidRPr="00F638AC">
        <w:rPr>
          <w:rFonts w:ascii="Arial" w:hAnsi="Arial" w:cs="Arial"/>
          <w:i/>
          <w:iCs/>
          <w:lang w:eastAsia="en-GB"/>
        </w:rPr>
        <w:t>Vossia cuspidata</w:t>
      </w:r>
      <w:r w:rsidRPr="00F638AC">
        <w:rPr>
          <w:rFonts w:ascii="Arial" w:hAnsi="Arial" w:cs="Arial"/>
          <w:lang w:eastAsia="en-GB"/>
        </w:rPr>
        <w:t xml:space="preserve"> and </w:t>
      </w:r>
      <w:r w:rsidRPr="00F638AC">
        <w:rPr>
          <w:rFonts w:ascii="Arial" w:hAnsi="Arial" w:cs="Arial"/>
          <w:i/>
          <w:iCs/>
          <w:lang w:eastAsia="en-GB"/>
        </w:rPr>
        <w:t>Eichhornia crassipes</w:t>
      </w:r>
      <w:r w:rsidRPr="00F638AC">
        <w:rPr>
          <w:rFonts w:ascii="Arial" w:hAnsi="Arial" w:cs="Arial"/>
          <w:lang w:eastAsia="en-GB"/>
        </w:rPr>
        <w:t xml:space="preserve"> at the expense of more sensitive species, leading to reduced overall biodiver</w:t>
      </w:r>
      <w:r w:rsidR="005D7CE2">
        <w:rPr>
          <w:rFonts w:ascii="Arial" w:hAnsi="Arial" w:cs="Arial"/>
          <w:lang w:eastAsia="en-GB"/>
        </w:rPr>
        <w:t>sity</w:t>
      </w:r>
      <w:r w:rsidR="00CB48B8">
        <w:rPr>
          <w:rFonts w:ascii="Arial" w:hAnsi="Arial" w:cs="Arial"/>
          <w:vertAlign w:val="superscript"/>
          <w:lang w:eastAsia="en-GB"/>
        </w:rPr>
        <w:t>7</w:t>
      </w:r>
      <w:r w:rsidRPr="00F638AC">
        <w:rPr>
          <w:rFonts w:ascii="Arial" w:hAnsi="Arial" w:cs="Arial"/>
          <w:lang w:eastAsia="en-GB"/>
        </w:rPr>
        <w:t xml:space="preserve">. Water pollution from heavy metals, pesticides, and other chemical contaminants is another key factor influencing </w:t>
      </w:r>
      <w:r w:rsidR="00A90485">
        <w:rPr>
          <w:rFonts w:ascii="Arial" w:hAnsi="Arial" w:cs="Arial"/>
          <w:lang w:eastAsia="en-GB"/>
        </w:rPr>
        <w:t>macrophyte</w:t>
      </w:r>
      <w:r w:rsidRPr="00F638AC">
        <w:rPr>
          <w:rFonts w:ascii="Arial" w:hAnsi="Arial" w:cs="Arial"/>
          <w:lang w:eastAsia="en-GB"/>
        </w:rPr>
        <w:t xml:space="preserve"> species composition. Heavy metals like lead, cadmium, and chromium are toxic to many aquatic plants, inhibiting growth, reproduction, and </w:t>
      </w:r>
      <w:r w:rsidR="00A953B3">
        <w:rPr>
          <w:rFonts w:ascii="Arial" w:hAnsi="Arial" w:cs="Arial"/>
          <w:lang w:eastAsia="en-GB"/>
        </w:rPr>
        <w:t>ph</w:t>
      </w:r>
      <w:r w:rsidRPr="00F638AC">
        <w:rPr>
          <w:rFonts w:ascii="Arial" w:hAnsi="Arial" w:cs="Arial"/>
          <w:lang w:eastAsia="en-GB"/>
        </w:rPr>
        <w:t>otosynthesis. These metals can accumulate in sediments and water bodies due to industrial discharges, mining activities, and agricultural run</w:t>
      </w:r>
      <w:r w:rsidR="005D7CE2">
        <w:rPr>
          <w:rFonts w:ascii="Arial" w:hAnsi="Arial" w:cs="Arial"/>
          <w:lang w:eastAsia="en-GB"/>
        </w:rPr>
        <w:t>off</w:t>
      </w:r>
      <w:r w:rsidR="00CB48B8">
        <w:rPr>
          <w:rFonts w:ascii="Arial" w:hAnsi="Arial" w:cs="Arial"/>
          <w:vertAlign w:val="superscript"/>
          <w:lang w:eastAsia="en-GB"/>
        </w:rPr>
        <w:t>45</w:t>
      </w:r>
      <w:r w:rsidRPr="00F638AC">
        <w:rPr>
          <w:rFonts w:ascii="Arial" w:hAnsi="Arial" w:cs="Arial"/>
          <w:lang w:eastAsia="en-GB"/>
        </w:rPr>
        <w:t xml:space="preserve">. </w:t>
      </w:r>
      <w:r w:rsidRPr="00F638AC">
        <w:rPr>
          <w:rFonts w:ascii="Arial" w:hAnsi="Arial" w:cs="Arial"/>
        </w:rPr>
        <w:t xml:space="preserve">It has been observed that </w:t>
      </w:r>
      <w:r w:rsidRPr="00F638AC">
        <w:rPr>
          <w:rFonts w:ascii="Arial" w:hAnsi="Arial" w:cs="Arial"/>
          <w:i/>
        </w:rPr>
        <w:t>E. crassipes</w:t>
      </w:r>
      <w:r w:rsidRPr="00F638AC">
        <w:rPr>
          <w:rFonts w:ascii="Arial" w:hAnsi="Arial" w:cs="Arial"/>
        </w:rPr>
        <w:t xml:space="preserve">,and </w:t>
      </w:r>
      <w:r w:rsidRPr="00F638AC">
        <w:rPr>
          <w:rFonts w:ascii="Arial" w:hAnsi="Arial" w:cs="Arial"/>
          <w:i/>
        </w:rPr>
        <w:t>Vossia cuspidata</w:t>
      </w:r>
      <w:r w:rsidRPr="00F638AC">
        <w:rPr>
          <w:rFonts w:ascii="Arial" w:hAnsi="Arial" w:cs="Arial"/>
        </w:rPr>
        <w:t xml:space="preserve"> occurred in both nutrient rich and nutrient poor Stations indicating their abundance is merely constrained by the nutrient levels. Despite their ubiquitous nature, density of these species were higher in Stations where nutrient concentrations were high which implies that further increase in the anthropogenic influence will favour further infestation by these </w:t>
      </w:r>
      <w:r w:rsidR="00A90485">
        <w:rPr>
          <w:rFonts w:ascii="Arial" w:hAnsi="Arial" w:cs="Arial"/>
        </w:rPr>
        <w:t xml:space="preserve">Macrophytes </w:t>
      </w:r>
    </w:p>
    <w:p w:rsidR="00687AAF" w:rsidRPr="00F638AC" w:rsidRDefault="00687AAF" w:rsidP="00687AAF">
      <w:pPr>
        <w:jc w:val="both"/>
        <w:rPr>
          <w:rFonts w:ascii="Arial" w:hAnsi="Arial" w:cs="Arial"/>
        </w:rPr>
      </w:pPr>
      <w:r w:rsidRPr="00F638AC">
        <w:rPr>
          <w:rFonts w:ascii="Arial" w:hAnsi="Arial" w:cs="Arial"/>
        </w:rPr>
        <w:t xml:space="preserve">The results further </w:t>
      </w:r>
      <w:r w:rsidR="00A953B3" w:rsidRPr="00F638AC">
        <w:rPr>
          <w:rFonts w:ascii="Arial" w:hAnsi="Arial" w:cs="Arial"/>
        </w:rPr>
        <w:t>em</w:t>
      </w:r>
      <w:r w:rsidR="00A953B3">
        <w:rPr>
          <w:rFonts w:ascii="Arial" w:hAnsi="Arial" w:cs="Arial"/>
        </w:rPr>
        <w:t>ph</w:t>
      </w:r>
      <w:r w:rsidR="00A953B3" w:rsidRPr="00F638AC">
        <w:rPr>
          <w:rFonts w:ascii="Arial" w:hAnsi="Arial" w:cs="Arial"/>
        </w:rPr>
        <w:t>asize</w:t>
      </w:r>
      <w:r w:rsidRPr="00F638AC">
        <w:rPr>
          <w:rFonts w:ascii="Arial" w:hAnsi="Arial" w:cs="Arial"/>
        </w:rPr>
        <w:t xml:space="preserve"> that tro</w:t>
      </w:r>
      <w:r w:rsidR="00A953B3">
        <w:rPr>
          <w:rFonts w:ascii="Arial" w:hAnsi="Arial" w:cs="Arial"/>
        </w:rPr>
        <w:t>ph</w:t>
      </w:r>
      <w:r w:rsidRPr="00F638AC">
        <w:rPr>
          <w:rFonts w:ascii="Arial" w:hAnsi="Arial" w:cs="Arial"/>
        </w:rPr>
        <w:t xml:space="preserve">ic status of the sampling Stations influences the composition of </w:t>
      </w:r>
      <w:r w:rsidR="00A90485">
        <w:rPr>
          <w:rFonts w:ascii="Arial" w:hAnsi="Arial" w:cs="Arial"/>
        </w:rPr>
        <w:t>macrophyte</w:t>
      </w:r>
      <w:r w:rsidRPr="00F638AC">
        <w:rPr>
          <w:rFonts w:ascii="Arial" w:hAnsi="Arial" w:cs="Arial"/>
        </w:rPr>
        <w:t xml:space="preserve"> communities</w:t>
      </w:r>
      <w:r w:rsidR="00CB48B8">
        <w:rPr>
          <w:rFonts w:ascii="Arial" w:hAnsi="Arial" w:cs="Arial"/>
          <w:vertAlign w:val="superscript"/>
        </w:rPr>
        <w:t>29</w:t>
      </w:r>
      <w:r w:rsidRPr="00F638AC">
        <w:rPr>
          <w:rFonts w:ascii="Arial" w:hAnsi="Arial" w:cs="Arial"/>
        </w:rPr>
        <w:t xml:space="preserve">. </w:t>
      </w:r>
      <w:r w:rsidRPr="00F638AC">
        <w:rPr>
          <w:rFonts w:ascii="Arial" w:hAnsi="Arial" w:cs="Arial"/>
          <w:lang w:eastAsia="en-GB"/>
        </w:rPr>
        <w:t xml:space="preserve">Changes in water flow and hydrology can also lead to shifts in the species composition of </w:t>
      </w:r>
      <w:r w:rsidR="00A90485">
        <w:rPr>
          <w:rFonts w:ascii="Arial" w:hAnsi="Arial" w:cs="Arial"/>
          <w:lang w:eastAsia="en-GB"/>
        </w:rPr>
        <w:t xml:space="preserve">Macrophytes </w:t>
      </w:r>
      <w:r w:rsidRPr="00F638AC">
        <w:rPr>
          <w:rFonts w:ascii="Arial" w:hAnsi="Arial" w:cs="Arial"/>
          <w:lang w:eastAsia="en-GB"/>
        </w:rPr>
        <w:t xml:space="preserve">. Slow-moving or stagnant waters created by impoundments often lead to a buildup of organic matter and sediment, promoting the dominance of floating-leaved species like </w:t>
      </w:r>
      <w:r w:rsidRPr="00F638AC">
        <w:rPr>
          <w:rFonts w:ascii="Arial" w:hAnsi="Arial" w:cs="Arial"/>
          <w:i/>
          <w:iCs/>
          <w:lang w:eastAsia="en-GB"/>
        </w:rPr>
        <w:t xml:space="preserve">Vossia cuspidata </w:t>
      </w:r>
      <w:r w:rsidRPr="00F638AC">
        <w:rPr>
          <w:rFonts w:ascii="Arial" w:hAnsi="Arial" w:cs="Arial"/>
          <w:lang w:eastAsia="en-GB"/>
        </w:rPr>
        <w:t xml:space="preserve">at the expense of submerged species like </w:t>
      </w:r>
      <w:r w:rsidR="00A90485" w:rsidRPr="00A90485">
        <w:rPr>
          <w:rFonts w:ascii="Arial" w:hAnsi="Arial" w:cs="Arial"/>
          <w:i/>
          <w:iCs/>
          <w:lang w:eastAsia="en-GB"/>
        </w:rPr>
        <w:t>Ceratophyllum</w:t>
      </w:r>
      <w:r w:rsidR="005D7CE2">
        <w:rPr>
          <w:rFonts w:ascii="Arial" w:hAnsi="Arial" w:cs="Arial"/>
          <w:vertAlign w:val="superscript"/>
          <w:lang w:eastAsia="en-GB"/>
        </w:rPr>
        <w:t>8</w:t>
      </w:r>
      <w:r w:rsidRPr="00F638AC">
        <w:rPr>
          <w:rFonts w:ascii="Arial" w:hAnsi="Arial" w:cs="Arial"/>
          <w:lang w:eastAsia="en-GB"/>
        </w:rPr>
        <w:t xml:space="preserve">. These shifts are often accompanied by a reduction in </w:t>
      </w:r>
      <w:r w:rsidR="00A90485">
        <w:rPr>
          <w:rFonts w:ascii="Arial" w:hAnsi="Arial" w:cs="Arial"/>
          <w:lang w:eastAsia="en-GB"/>
        </w:rPr>
        <w:t>macrophyte</w:t>
      </w:r>
      <w:r w:rsidRPr="00F638AC">
        <w:rPr>
          <w:rFonts w:ascii="Arial" w:hAnsi="Arial" w:cs="Arial"/>
          <w:lang w:eastAsia="en-GB"/>
        </w:rPr>
        <w:t xml:space="preserve"> diversity, as only a few species thrive in the altered </w:t>
      </w:r>
      <w:r w:rsidR="00A953B3" w:rsidRPr="00F638AC">
        <w:rPr>
          <w:rFonts w:ascii="Arial" w:hAnsi="Arial" w:cs="Arial"/>
          <w:lang w:eastAsia="en-GB"/>
        </w:rPr>
        <w:t>conditions. Climate</w:t>
      </w:r>
      <w:r w:rsidRPr="00F638AC">
        <w:rPr>
          <w:rFonts w:ascii="Arial" w:hAnsi="Arial" w:cs="Arial"/>
          <w:lang w:eastAsia="en-GB"/>
        </w:rPr>
        <w:t xml:space="preserve"> change, with its associated rise in global temperatures, shifts in precipitation patterns, and increased </w:t>
      </w:r>
      <w:r w:rsidRPr="00F638AC">
        <w:rPr>
          <w:rFonts w:ascii="Arial" w:hAnsi="Arial" w:cs="Arial"/>
          <w:lang w:eastAsia="en-GB"/>
        </w:rPr>
        <w:lastRenderedPageBreak/>
        <w:t xml:space="preserve">frequency of extreme weather events, is altering the environmental conditions in freshwater ecosystems. Warmer temperatures can accelerate the growth of certain </w:t>
      </w:r>
      <w:r w:rsidR="00A90485">
        <w:rPr>
          <w:rFonts w:ascii="Arial" w:hAnsi="Arial" w:cs="Arial"/>
          <w:lang w:eastAsia="en-GB"/>
        </w:rPr>
        <w:t>macrophyte</w:t>
      </w:r>
      <w:r w:rsidRPr="00F638AC">
        <w:rPr>
          <w:rFonts w:ascii="Arial" w:hAnsi="Arial" w:cs="Arial"/>
          <w:lang w:eastAsia="en-GB"/>
        </w:rPr>
        <w:t xml:space="preserve"> species, particularly those adapted to warmer climates, while others, particularly cold-water species, may experience declines or shifts in their geogra</w:t>
      </w:r>
      <w:r w:rsidR="00A953B3">
        <w:rPr>
          <w:rFonts w:ascii="Arial" w:hAnsi="Arial" w:cs="Arial"/>
          <w:lang w:eastAsia="en-GB"/>
        </w:rPr>
        <w:t>ph</w:t>
      </w:r>
      <w:r w:rsidRPr="00F638AC">
        <w:rPr>
          <w:rFonts w:ascii="Arial" w:hAnsi="Arial" w:cs="Arial"/>
          <w:lang w:eastAsia="en-GB"/>
        </w:rPr>
        <w:t xml:space="preserve">ical range. In regions where water levels fluctuate widely due to climate variability, species that can tolerate both wet and dry conditions, such as </w:t>
      </w:r>
      <w:r w:rsidRPr="00F638AC">
        <w:rPr>
          <w:rFonts w:ascii="Arial" w:hAnsi="Arial" w:cs="Arial"/>
          <w:i/>
          <w:iCs/>
          <w:lang w:eastAsia="en-GB"/>
        </w:rPr>
        <w:t xml:space="preserve">V. cuspidate </w:t>
      </w:r>
      <w:r w:rsidRPr="00F638AC">
        <w:rPr>
          <w:rFonts w:ascii="Arial" w:hAnsi="Arial" w:cs="Arial"/>
          <w:lang w:eastAsia="en-GB"/>
        </w:rPr>
        <w:t>may become more dominant, while le</w:t>
      </w:r>
      <w:r w:rsidR="005D7CE2">
        <w:rPr>
          <w:rFonts w:ascii="Arial" w:hAnsi="Arial" w:cs="Arial"/>
          <w:lang w:eastAsia="en-GB"/>
        </w:rPr>
        <w:t>ss tolerant species may decline</w:t>
      </w:r>
      <w:r w:rsidR="00CB48B8">
        <w:rPr>
          <w:rFonts w:ascii="Arial" w:hAnsi="Arial" w:cs="Arial"/>
          <w:vertAlign w:val="superscript"/>
          <w:lang w:eastAsia="en-GB"/>
        </w:rPr>
        <w:t>13</w:t>
      </w:r>
      <w:r w:rsidRPr="00F638AC">
        <w:rPr>
          <w:rFonts w:ascii="Arial" w:hAnsi="Arial" w:cs="Arial"/>
          <w:lang w:eastAsia="en-GB"/>
        </w:rPr>
        <w:t>.</w:t>
      </w:r>
    </w:p>
    <w:p w:rsidR="00687AAF" w:rsidRDefault="005D7CE2" w:rsidP="005D7CE2">
      <w:pPr>
        <w:tabs>
          <w:tab w:val="left" w:pos="2850"/>
        </w:tabs>
        <w:autoSpaceDE w:val="0"/>
        <w:autoSpaceDN w:val="0"/>
        <w:adjustRightInd w:val="0"/>
        <w:jc w:val="both"/>
        <w:rPr>
          <w:rFonts w:ascii="Arial" w:hAnsi="Arial" w:cs="Arial"/>
          <w:b/>
          <w:bCs/>
          <w:szCs w:val="22"/>
        </w:rPr>
      </w:pPr>
      <w:r>
        <w:rPr>
          <w:rFonts w:ascii="Arial" w:hAnsi="Arial" w:cs="Arial"/>
          <w:b/>
          <w:bCs/>
          <w:szCs w:val="22"/>
        </w:rPr>
        <w:tab/>
      </w:r>
    </w:p>
    <w:p w:rsidR="00687AAF" w:rsidRPr="00FB3A86" w:rsidRDefault="00687AAF" w:rsidP="00687AAF">
      <w:pPr>
        <w:pStyle w:val="Body"/>
        <w:spacing w:after="0"/>
        <w:rPr>
          <w:rFonts w:ascii="Arial" w:hAnsi="Arial" w:cs="Arial"/>
        </w:rPr>
      </w:pPr>
    </w:p>
    <w:p w:rsidR="00687AAF" w:rsidRDefault="00687AAF" w:rsidP="00687AA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687AAF" w:rsidRPr="00FB3A86" w:rsidRDefault="00687AAF" w:rsidP="00687AAF">
      <w:pPr>
        <w:pStyle w:val="ConcHead"/>
        <w:spacing w:after="0"/>
        <w:jc w:val="both"/>
        <w:rPr>
          <w:rFonts w:ascii="Arial" w:hAnsi="Arial" w:cs="Arial"/>
        </w:rPr>
      </w:pPr>
    </w:p>
    <w:p w:rsidR="008320CA" w:rsidRDefault="007C4084" w:rsidP="00687AAF">
      <w:pPr>
        <w:pStyle w:val="Body"/>
        <w:rPr>
          <w:rFonts w:ascii="Arial" w:hAnsi="Arial" w:cs="Arial"/>
          <w:lang w:val="en-GB"/>
        </w:rPr>
      </w:pPr>
      <w:r w:rsidRPr="007C4084">
        <w:rPr>
          <w:rFonts w:ascii="Arial" w:hAnsi="Arial" w:cs="Arial"/>
        </w:rPr>
        <w:t>In conclusion, the study underscores the significant impact of human activities on the Eniong River ecosystem, particularly concerning macrophyte species composition. The observed correlation between deteriorating water quality, especially heavy metal contamination, and reduced macrophyte diversity highlights the urgent need for effective management strategies. To mitigate these impacts, efforts should focus on reducing nutrient pollution, controlling invasive species, protecting natural habitats, and adapting to climate change challenges. Implementing restoration projects that reintroduce native species and restore hydrological regimes is essential for maintaining biodiversity and ensuring the resilience of freshwater ecosystems amid ongoing environmental pressures.</w:t>
      </w:r>
    </w:p>
    <w:p w:rsidR="008320CA" w:rsidRPr="008320CA" w:rsidRDefault="008320CA" w:rsidP="008320CA">
      <w:pPr>
        <w:spacing w:after="200" w:line="276" w:lineRule="auto"/>
        <w:rPr>
          <w:rFonts w:ascii="Calibri" w:eastAsia="Calibri" w:hAnsi="Calibri"/>
          <w:kern w:val="2"/>
          <w:sz w:val="22"/>
          <w:szCs w:val="22"/>
          <w:highlight w:val="yellow"/>
        </w:rPr>
      </w:pPr>
      <w:bookmarkStart w:id="0" w:name="_Hlk180402183"/>
      <w:r w:rsidRPr="008320CA">
        <w:rPr>
          <w:rFonts w:ascii="Calibri" w:eastAsia="Calibri" w:hAnsi="Calibri"/>
          <w:kern w:val="2"/>
          <w:sz w:val="22"/>
          <w:szCs w:val="22"/>
          <w:highlight w:val="yellow"/>
        </w:rPr>
        <w:t>Disclaimer (Artificial intelligence)</w:t>
      </w:r>
    </w:p>
    <w:p w:rsidR="008320CA" w:rsidRPr="008320CA" w:rsidRDefault="008320CA" w:rsidP="008320CA">
      <w:pPr>
        <w:spacing w:after="200" w:line="276" w:lineRule="auto"/>
        <w:rPr>
          <w:rFonts w:ascii="Calibri" w:eastAsia="Calibri" w:hAnsi="Calibri"/>
          <w:kern w:val="2"/>
          <w:sz w:val="22"/>
          <w:szCs w:val="22"/>
          <w:highlight w:val="yellow"/>
        </w:rPr>
      </w:pPr>
      <w:r w:rsidRPr="008320CA">
        <w:rPr>
          <w:rFonts w:ascii="Calibri" w:eastAsia="Calibri" w:hAnsi="Calibri"/>
          <w:kern w:val="2"/>
          <w:sz w:val="22"/>
          <w:szCs w:val="22"/>
          <w:highlight w:val="yellow"/>
        </w:rPr>
        <w:t xml:space="preserve">Option 1: </w:t>
      </w:r>
    </w:p>
    <w:p w:rsidR="008320CA" w:rsidRPr="008320CA" w:rsidRDefault="008320CA" w:rsidP="008320CA">
      <w:pPr>
        <w:spacing w:after="200" w:line="276" w:lineRule="auto"/>
        <w:rPr>
          <w:rFonts w:ascii="Calibri" w:eastAsia="Calibri" w:hAnsi="Calibri"/>
          <w:kern w:val="2"/>
          <w:sz w:val="22"/>
          <w:szCs w:val="22"/>
          <w:highlight w:val="yellow"/>
        </w:rPr>
      </w:pPr>
      <w:r w:rsidRPr="008320CA">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rsidR="008320CA" w:rsidRPr="00911EA5" w:rsidRDefault="008320CA" w:rsidP="00687AAF">
      <w:pPr>
        <w:pStyle w:val="Body"/>
        <w:rPr>
          <w:rFonts w:ascii="Arial" w:hAnsi="Arial" w:cs="Arial"/>
          <w:lang w:val="en-GB"/>
        </w:rPr>
      </w:pPr>
    </w:p>
    <w:p w:rsidR="00687AAF" w:rsidRDefault="00687AAF" w:rsidP="00687AAF">
      <w:pPr>
        <w:pStyle w:val="ReferHead"/>
        <w:spacing w:after="0"/>
        <w:jc w:val="both"/>
        <w:rPr>
          <w:rFonts w:ascii="Arial" w:hAnsi="Arial" w:cs="Arial"/>
          <w:bCs/>
        </w:rPr>
      </w:pPr>
    </w:p>
    <w:p w:rsidR="00687AAF" w:rsidRDefault="00687AAF" w:rsidP="00687AAF">
      <w:pPr>
        <w:pStyle w:val="ReferHead"/>
        <w:spacing w:after="0"/>
        <w:jc w:val="both"/>
        <w:rPr>
          <w:rFonts w:ascii="Arial" w:hAnsi="Arial" w:cs="Arial"/>
        </w:rPr>
      </w:pPr>
    </w:p>
    <w:p w:rsidR="00687AAF" w:rsidRDefault="00687AAF" w:rsidP="00687AAF">
      <w:pPr>
        <w:pStyle w:val="ReferHead"/>
        <w:spacing w:after="0"/>
        <w:jc w:val="both"/>
        <w:rPr>
          <w:rFonts w:ascii="Arial" w:hAnsi="Arial" w:cs="Arial"/>
        </w:rPr>
      </w:pPr>
      <w:r w:rsidRPr="00FB3A86">
        <w:rPr>
          <w:rFonts w:ascii="Arial" w:hAnsi="Arial" w:cs="Arial"/>
        </w:rPr>
        <w:t>References</w:t>
      </w:r>
    </w:p>
    <w:p w:rsidR="00687AAF" w:rsidRPr="00FB3A86" w:rsidRDefault="00687AAF" w:rsidP="00687AAF">
      <w:pPr>
        <w:pStyle w:val="ReferHead"/>
        <w:spacing w:after="0"/>
        <w:jc w:val="both"/>
        <w:rPr>
          <w:rFonts w:ascii="Arial" w:hAnsi="Arial" w:cs="Arial"/>
        </w:rPr>
      </w:pPr>
    </w:p>
    <w:p w:rsidR="007C4084" w:rsidRPr="007C4084" w:rsidRDefault="007C4084" w:rsidP="00EB4FCE">
      <w:pPr>
        <w:pStyle w:val="Body"/>
        <w:spacing w:after="0"/>
        <w:ind w:left="1070"/>
        <w:rPr>
          <w:rFonts w:ascii="Arial" w:hAnsi="Arial" w:cs="Arial"/>
          <w:lang w:val="en-GB" w:eastAsia="en-GB"/>
        </w:rPr>
      </w:pPr>
      <w:r w:rsidRPr="007C4084">
        <w:rPr>
          <w:rFonts w:ascii="Arial" w:hAnsi="Arial" w:cs="Arial"/>
          <w:lang w:val="en-GB" w:eastAsia="en-GB"/>
        </w:rPr>
        <w:t xml:space="preserve">. </w:t>
      </w:r>
    </w:p>
    <w:p w:rsidR="007C4084" w:rsidRPr="00C03D01" w:rsidRDefault="007C4084" w:rsidP="00EB4FCE">
      <w:pPr>
        <w:pStyle w:val="Body"/>
        <w:spacing w:after="0"/>
        <w:ind w:left="720"/>
        <w:rPr>
          <w:rFonts w:ascii="Arial" w:hAnsi="Arial" w:cs="Arial"/>
          <w:lang w:val="en-GB" w:eastAsia="en-GB"/>
        </w:rPr>
      </w:pPr>
      <w:r w:rsidRPr="00C03D01">
        <w:rPr>
          <w:rFonts w:ascii="Arial" w:hAnsi="Arial" w:cs="Arial"/>
          <w:lang w:val="en-GB" w:eastAsia="en-GB"/>
        </w:rPr>
        <w:t>.</w:t>
      </w:r>
    </w:p>
    <w:p w:rsidR="007C4084" w:rsidRPr="00C03D01" w:rsidRDefault="007C4084" w:rsidP="00A72992">
      <w:pPr>
        <w:pStyle w:val="Body"/>
        <w:numPr>
          <w:ilvl w:val="0"/>
          <w:numId w:val="2"/>
        </w:numPr>
        <w:spacing w:after="0"/>
        <w:rPr>
          <w:rFonts w:ascii="Arial" w:hAnsi="Arial" w:cs="Arial"/>
          <w:lang w:val="en-GB" w:eastAsia="en-GB"/>
        </w:rPr>
      </w:pPr>
      <w:r w:rsidRPr="00C03D01">
        <w:t xml:space="preserve">Akpan, E. R., Obot, O. I., and Umoh, E. O. (2018). Physicochemical and bacteriological analyses of Eniong River water and sediment in Southern Nigeria. </w:t>
      </w:r>
      <w:r w:rsidRPr="00C03D01">
        <w:rPr>
          <w:rStyle w:val="Emphasis"/>
        </w:rPr>
        <w:t>Environmental Monitoring and Assessment</w:t>
      </w:r>
      <w:r w:rsidRPr="00C03D01">
        <w:t>, 190(11), 1-12.</w:t>
      </w:r>
      <w:r w:rsidRPr="00C03D01">
        <w:rPr>
          <w:rFonts w:ascii="Arial" w:hAnsi="Arial" w:cs="Arial"/>
          <w:lang w:val="en-GB" w:eastAsia="en-GB"/>
        </w:rPr>
        <w:t>.</w:t>
      </w:r>
    </w:p>
    <w:p w:rsidR="007C4084" w:rsidRPr="00C03D01" w:rsidRDefault="007C4084" w:rsidP="00A72992">
      <w:pPr>
        <w:pStyle w:val="Body"/>
        <w:numPr>
          <w:ilvl w:val="0"/>
          <w:numId w:val="2"/>
        </w:numPr>
        <w:spacing w:after="0"/>
        <w:rPr>
          <w:rFonts w:ascii="Arial" w:hAnsi="Arial" w:cs="Arial"/>
          <w:lang w:val="en-GB" w:eastAsia="en-GB"/>
        </w:rPr>
      </w:pPr>
      <w:r w:rsidRPr="00C03D01">
        <w:rPr>
          <w:rFonts w:ascii="Arial" w:hAnsi="Arial" w:cs="Arial"/>
          <w:lang w:val="en-GB" w:eastAsia="en-GB"/>
        </w:rPr>
        <w:t xml:space="preserve">Ali, H., Khan, E., </w:t>
      </w:r>
      <w:r w:rsidRPr="00C03D01">
        <w:t>and</w:t>
      </w:r>
      <w:r w:rsidRPr="00C03D01">
        <w:rPr>
          <w:rFonts w:ascii="Arial" w:hAnsi="Arial" w:cs="Arial"/>
          <w:lang w:val="en-GB" w:eastAsia="en-GB"/>
        </w:rPr>
        <w:t xml:space="preserve"> Sajad, M. A. (2019). Phytoremediation of heavy metals—Concepts and applications. </w:t>
      </w:r>
      <w:r w:rsidRPr="00C03D01">
        <w:rPr>
          <w:rFonts w:ascii="Arial" w:hAnsi="Arial" w:cs="Arial"/>
          <w:i/>
          <w:iCs/>
          <w:lang w:val="en-GB" w:eastAsia="en-GB"/>
        </w:rPr>
        <w:t>Chemosphere, 91</w:t>
      </w:r>
      <w:r w:rsidRPr="00C03D01">
        <w:rPr>
          <w:rFonts w:ascii="Arial" w:hAnsi="Arial" w:cs="Arial"/>
          <w:lang w:val="en-GB" w:eastAsia="en-GB"/>
        </w:rPr>
        <w:t>(7), 869-881. https://www.sciencedirect.com/science/article/abs/pii/S0045653513001914</w:t>
      </w:r>
    </w:p>
    <w:p w:rsidR="007C4084" w:rsidRPr="007C4084" w:rsidRDefault="007C4084" w:rsidP="00A72992">
      <w:pPr>
        <w:pStyle w:val="Body"/>
        <w:numPr>
          <w:ilvl w:val="0"/>
          <w:numId w:val="2"/>
        </w:numPr>
        <w:spacing w:after="0"/>
        <w:rPr>
          <w:rFonts w:ascii="Arial" w:hAnsi="Arial" w:cs="Arial"/>
          <w:lang w:val="en-GB" w:eastAsia="en-GB"/>
        </w:rPr>
      </w:pPr>
      <w:r w:rsidRPr="00C03D01">
        <w:rPr>
          <w:rFonts w:ascii="Arial" w:hAnsi="Arial" w:cs="Arial"/>
          <w:lang w:val="en-GB" w:eastAsia="en-GB"/>
        </w:rPr>
        <w:t xml:space="preserve">American Public Health Association (APHA). (2017). </w:t>
      </w:r>
      <w:r w:rsidRPr="00C03D01">
        <w:rPr>
          <w:rFonts w:ascii="Arial" w:hAnsi="Arial" w:cs="Arial"/>
          <w:i/>
          <w:iCs/>
          <w:lang w:val="en-GB" w:eastAsia="en-GB"/>
        </w:rPr>
        <w:t>Standard Methods for the Examination of Water and Wastewater</w:t>
      </w:r>
      <w:r w:rsidRPr="007C4084">
        <w:rPr>
          <w:rFonts w:ascii="Arial" w:hAnsi="Arial" w:cs="Arial"/>
          <w:lang w:val="en-GB" w:eastAsia="en-GB"/>
        </w:rPr>
        <w:t xml:space="preserve"> (23rd ed.). Washington, D.C.: APHA, AWWA, WEF.</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eastAsia="en-GB"/>
        </w:rPr>
        <w:t xml:space="preserve">Azim, M. E., Beveridge, M. C. M., van Dam, A. A., </w:t>
      </w:r>
      <w:r w:rsidRPr="007C4084">
        <w:t xml:space="preserve">and </w:t>
      </w:r>
      <w:r w:rsidRPr="007C4084">
        <w:rPr>
          <w:rFonts w:ascii="Arial" w:hAnsi="Arial" w:cs="Arial"/>
          <w:lang w:eastAsia="en-GB"/>
        </w:rPr>
        <w:t>Verdegem, M. C. J. (2005). Periphyton and aquatic production: an introduction. In M. E. Azim, M. C. J. Verdegem, A. A. van Dam, &amp; M. C. M. Beveridge (Eds.), </w:t>
      </w:r>
      <w:r w:rsidRPr="007C4084">
        <w:rPr>
          <w:rFonts w:ascii="Arial" w:hAnsi="Arial" w:cs="Arial"/>
          <w:i/>
          <w:iCs/>
          <w:lang w:eastAsia="en-GB"/>
        </w:rPr>
        <w:t>Periphyton: ecology, exploitation and management </w:t>
      </w:r>
      <w:r w:rsidRPr="007C4084">
        <w:rPr>
          <w:rFonts w:ascii="Arial" w:hAnsi="Arial" w:cs="Arial"/>
          <w:lang w:eastAsia="en-GB"/>
        </w:rPr>
        <w:t>(pp. 1-13). CABI.</w:t>
      </w:r>
      <w:r w:rsidRPr="007C4084">
        <w:rPr>
          <w:rFonts w:ascii="Arial" w:hAnsi="Arial" w:cs="Arial"/>
          <w:lang w:val="en-GB" w:eastAsia="en-GB"/>
        </w:rPr>
        <w:t>.</w:t>
      </w:r>
    </w:p>
    <w:p w:rsidR="007C4084" w:rsidRPr="007C4084" w:rsidRDefault="007C4084" w:rsidP="00A72992">
      <w:pPr>
        <w:pStyle w:val="Body"/>
        <w:numPr>
          <w:ilvl w:val="0"/>
          <w:numId w:val="2"/>
        </w:numPr>
        <w:spacing w:after="0"/>
        <w:rPr>
          <w:rFonts w:ascii="Arial" w:hAnsi="Arial" w:cs="Arial"/>
          <w:lang w:val="en-GB" w:eastAsia="en-GB"/>
        </w:rPr>
      </w:pPr>
      <w:r w:rsidRPr="007C4084">
        <w:rPr>
          <w:rStyle w:val="Strong"/>
          <w:b w:val="0"/>
        </w:rPr>
        <w:lastRenderedPageBreak/>
        <w:t xml:space="preserve">Bornette, G., </w:t>
      </w:r>
      <w:r w:rsidRPr="007C4084">
        <w:t xml:space="preserve">and </w:t>
      </w:r>
      <w:r w:rsidRPr="007C4084">
        <w:rPr>
          <w:rStyle w:val="Strong"/>
          <w:b w:val="0"/>
        </w:rPr>
        <w:t>Puijalon, S. (2018). Macrophyte communities in relation to water chemistry and acidity gradients</w:t>
      </w:r>
      <w:r w:rsidRPr="007C4084">
        <w:rPr>
          <w:rStyle w:val="Strong"/>
        </w:rPr>
        <w:t>.</w:t>
      </w:r>
      <w:r w:rsidRPr="007C4084">
        <w:t xml:space="preserve"> </w:t>
      </w:r>
      <w:r w:rsidRPr="007C4084">
        <w:rPr>
          <w:rStyle w:val="Emphasis"/>
        </w:rPr>
        <w:t>Ecological Indicators, 93</w:t>
      </w:r>
      <w:r w:rsidRPr="007C4084">
        <w:t>, 1005-1015</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Brinkmann, T., Hitzfeld, K. L., </w:t>
      </w:r>
      <w:r w:rsidRPr="007C4084">
        <w:t xml:space="preserve">and </w:t>
      </w:r>
      <w:r w:rsidRPr="007C4084">
        <w:rPr>
          <w:rFonts w:ascii="Arial" w:hAnsi="Arial" w:cs="Arial"/>
          <w:lang w:val="en-GB" w:eastAsia="en-GB"/>
        </w:rPr>
        <w:t xml:space="preserve">Frimmel, F. H. (2008). "Humic substances in aquatic systems: Their role in the complexation of phosphorus and trace metals." Aquatic Humic Substances: </w:t>
      </w:r>
      <w:r w:rsidRPr="007C4084">
        <w:rPr>
          <w:rFonts w:ascii="Arial" w:hAnsi="Arial" w:cs="Arial"/>
          <w:i/>
          <w:lang w:val="en-GB" w:eastAsia="en-GB"/>
        </w:rPr>
        <w:t>Ecology and Biogeochemistry</w:t>
      </w:r>
      <w:r w:rsidRPr="007C4084">
        <w:rPr>
          <w:rFonts w:ascii="Arial" w:hAnsi="Arial" w:cs="Arial"/>
          <w:lang w:val="en-GB" w:eastAsia="en-GB"/>
        </w:rPr>
        <w:t>, 1-20..</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bCs/>
          <w:lang w:eastAsia="en-GB"/>
        </w:rPr>
        <w:t xml:space="preserve">Chambers, P. A., Lacoul, P., </w:t>
      </w:r>
      <w:r w:rsidRPr="007C4084">
        <w:t xml:space="preserve">and </w:t>
      </w:r>
      <w:r w:rsidRPr="007C4084">
        <w:rPr>
          <w:rFonts w:ascii="Arial" w:hAnsi="Arial" w:cs="Arial"/>
          <w:bCs/>
          <w:lang w:eastAsia="en-GB"/>
        </w:rPr>
        <w:t>Murphy, K. J. (2018). Environmental drivers of aquatic plant abundance and distribution in freshwater ecosystems: A global review.</w:t>
      </w:r>
      <w:r w:rsidRPr="007C4084">
        <w:rPr>
          <w:rFonts w:ascii="Arial" w:hAnsi="Arial" w:cs="Arial"/>
          <w:lang w:eastAsia="en-GB"/>
        </w:rPr>
        <w:t xml:space="preserve"> </w:t>
      </w:r>
      <w:r w:rsidRPr="007C4084">
        <w:rPr>
          <w:rFonts w:ascii="Arial" w:hAnsi="Arial" w:cs="Arial"/>
          <w:i/>
          <w:iCs/>
          <w:lang w:eastAsia="en-GB"/>
        </w:rPr>
        <w:t>Aquatic Botany, 148</w:t>
      </w:r>
      <w:r w:rsidRPr="007C4084">
        <w:rPr>
          <w:rFonts w:ascii="Arial" w:hAnsi="Arial" w:cs="Arial"/>
          <w:lang w:eastAsia="en-GB"/>
        </w:rPr>
        <w:t>, 54-65</w:t>
      </w:r>
      <w:r w:rsidRPr="007C4084">
        <w:rPr>
          <w:rFonts w:ascii="Arial" w:hAnsi="Arial" w:cs="Arial"/>
          <w:lang w:val="en-GB" w:eastAsia="en-GB"/>
        </w:rPr>
        <w:t>.</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Chambers, P. A., Lacoul, P., Murphy, K. J., </w:t>
      </w:r>
      <w:r w:rsidRPr="007C4084">
        <w:t xml:space="preserve">and </w:t>
      </w:r>
      <w:r w:rsidRPr="007C4084">
        <w:rPr>
          <w:rFonts w:ascii="Arial" w:hAnsi="Arial" w:cs="Arial"/>
          <w:lang w:val="en-GB" w:eastAsia="en-GB"/>
        </w:rPr>
        <w:t>Thomaz, S. M. (2008). "Global diversity of aquatic macrophytes in freshwater." Developments in Hydrobiology, 198, 9-26.</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Chaparro, G., Menendez, M., </w:t>
      </w:r>
      <w:r w:rsidRPr="007C4084">
        <w:t xml:space="preserve">and </w:t>
      </w:r>
      <w:r w:rsidRPr="007C4084">
        <w:rPr>
          <w:rFonts w:ascii="Arial" w:hAnsi="Arial" w:cs="Arial"/>
          <w:lang w:val="en-GB" w:eastAsia="en-GB"/>
        </w:rPr>
        <w:t xml:space="preserve">Sanchez-Carillo, S. (2019). "Buffering capacity in humic ecosystems and its role in the dynamics of periphyton and macrophytes." </w:t>
      </w:r>
      <w:r w:rsidRPr="007C4084">
        <w:rPr>
          <w:rFonts w:ascii="Arial" w:hAnsi="Arial" w:cs="Arial"/>
          <w:i/>
          <w:lang w:val="en-GB" w:eastAsia="en-GB"/>
        </w:rPr>
        <w:t>Ecological Engineering</w:t>
      </w:r>
      <w:r w:rsidRPr="007C4084">
        <w:rPr>
          <w:rFonts w:ascii="Arial" w:hAnsi="Arial" w:cs="Arial"/>
          <w:lang w:val="en-GB" w:eastAsia="en-GB"/>
        </w:rPr>
        <w:t>, 148, 105762..</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Cole, J. J., Prairie, Y. T., Caraco, N. F., McDowell, W. H., Tranvik, L. J., Striegl, R. G. </w:t>
      </w:r>
      <w:r w:rsidRPr="007C4084">
        <w:t xml:space="preserve">and </w:t>
      </w:r>
      <w:r w:rsidRPr="007C4084">
        <w:rPr>
          <w:rFonts w:ascii="Arial" w:hAnsi="Arial" w:cs="Arial"/>
          <w:lang w:val="en-GB" w:eastAsia="en-GB"/>
        </w:rPr>
        <w:t xml:space="preserve">Duarte, C. M. (2007). Plumbing the global carbon cycle: Integrating inland waters into the terrestrial carbon budget. </w:t>
      </w:r>
      <w:r w:rsidRPr="007C4084">
        <w:rPr>
          <w:rFonts w:ascii="Arial" w:hAnsi="Arial" w:cs="Arial"/>
          <w:i/>
          <w:lang w:val="en-GB" w:eastAsia="en-GB"/>
        </w:rPr>
        <w:t>Ecosystems</w:t>
      </w:r>
      <w:r w:rsidRPr="007C4084">
        <w:rPr>
          <w:rFonts w:ascii="Arial" w:hAnsi="Arial" w:cs="Arial"/>
          <w:lang w:val="en-GB" w:eastAsia="en-GB"/>
        </w:rPr>
        <w:t>, 10(1), 171-184.</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Dalu, T., Coetzee, J., and Dalu, M. (2022). Factors structuring aquatic macrophytes in freshwater ecosystems. In </w:t>
      </w:r>
      <w:r w:rsidRPr="007C4084">
        <w:rPr>
          <w:rStyle w:val="Emphasis"/>
        </w:rPr>
        <w:t>Freshwater Ecosystems: A Global Perspective</w:t>
      </w:r>
      <w:r w:rsidRPr="007C4084">
        <w:t xml:space="preserve"> (pp. 355-375).</w:t>
      </w:r>
      <w:r w:rsidRPr="007C4084">
        <w:rPr>
          <w:rFonts w:ascii="Arial" w:hAnsi="Arial" w:cs="Arial"/>
          <w:lang w:val="en-GB" w:eastAsia="en-GB"/>
        </w:rPr>
        <w:t>.</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Dembowska, E., Kamiński, D., &amp; Wojciechowska, A. (2021). Phytoplankton response to the massive expansion of Elodea nuttallii (Planch.) H.St.John, 1920 in a floodplain lake of the Vistula River (Poland). </w:t>
      </w:r>
      <w:r w:rsidRPr="007C4084">
        <w:rPr>
          <w:rFonts w:ascii="Arial" w:hAnsi="Arial" w:cs="Arial"/>
          <w:i/>
          <w:lang w:val="en-GB" w:eastAsia="en-GB"/>
        </w:rPr>
        <w:t>Aquatic Invasions</w:t>
      </w:r>
      <w:r w:rsidRPr="007C4084">
        <w:rPr>
          <w:rFonts w:ascii="Arial" w:hAnsi="Arial" w:cs="Arial"/>
          <w:lang w:val="en-GB" w:eastAsia="en-GB"/>
        </w:rPr>
        <w:t>, 16(4), 601-616.</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Dixit, S. (2008). Role of macrophytes in improving water quality of an aquatic ecosystem. </w:t>
      </w:r>
      <w:r w:rsidRPr="007C4084">
        <w:rPr>
          <w:rFonts w:ascii="Arial" w:hAnsi="Arial" w:cs="Arial"/>
          <w:i/>
          <w:lang w:val="en-GB" w:eastAsia="en-GB"/>
        </w:rPr>
        <w:t>Journal of Aquatic Ecosystem Stress and Recovery</w:t>
      </w:r>
      <w:r w:rsidRPr="007C4084">
        <w:rPr>
          <w:rFonts w:ascii="Arial" w:hAnsi="Arial" w:cs="Arial"/>
          <w:lang w:val="en-GB" w:eastAsia="en-GB"/>
        </w:rPr>
        <w:t>, 15(6), 1-10..</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Esteves, F. A., Da Cunha, A. A., and Feio, R. N. (2019). Limnology of Brazilian freshwaters: A broad perspective. </w:t>
      </w:r>
      <w:r w:rsidRPr="007C4084">
        <w:rPr>
          <w:rStyle w:val="Emphasis"/>
        </w:rPr>
        <w:t>Brazilian Journal of Biology</w:t>
      </w:r>
      <w:r w:rsidRPr="007C4084">
        <w:t>, 79(2), 200-213.</w:t>
      </w:r>
      <w:r w:rsidRPr="007C4084">
        <w:rPr>
          <w:rFonts w:ascii="Arial" w:hAnsi="Arial" w:cs="Arial"/>
          <w:lang w:val="en-GB" w:eastAsia="en-GB"/>
        </w:rPr>
        <w:t>.</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Etuk, V. J., Ugbomeh, A., Akani, G. C., and Ugbomeh, L. I. (2020). The cichlids of Eniong and Cross Rivers, Niger Delta, Nigeria. </w:t>
      </w:r>
      <w:r w:rsidRPr="007C4084">
        <w:rPr>
          <w:rStyle w:val="Emphasis"/>
        </w:rPr>
        <w:t>Tropical Freshwater Biology</w:t>
      </w:r>
      <w:r w:rsidRPr="007C4084">
        <w:t>, 29(1), 1-10.</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eastAsia="en-GB"/>
        </w:rPr>
        <w:t xml:space="preserve">Gao, H., Qian, X., Wu, H., Li, H., Pan, H., </w:t>
      </w:r>
      <w:r w:rsidRPr="007C4084">
        <w:t xml:space="preserve">and </w:t>
      </w:r>
      <w:r w:rsidRPr="007C4084">
        <w:rPr>
          <w:rFonts w:ascii="Arial" w:hAnsi="Arial" w:cs="Arial"/>
          <w:lang w:eastAsia="en-GB"/>
        </w:rPr>
        <w:t xml:space="preserve">Han, C. (2017). Combined effects of submerged macrophytes and aquatic animals on the restoration of a eutrophic water body—A case study of Gonghu Bay, Lake Taihu. </w:t>
      </w:r>
      <w:r w:rsidRPr="007C4084">
        <w:rPr>
          <w:rFonts w:ascii="Arial" w:hAnsi="Arial" w:cs="Arial"/>
          <w:i/>
          <w:iCs/>
          <w:lang w:eastAsia="en-GB"/>
        </w:rPr>
        <w:t>Ecological Engineering, 102</w:t>
      </w:r>
      <w:r w:rsidRPr="007C4084">
        <w:rPr>
          <w:rFonts w:ascii="Arial" w:hAnsi="Arial" w:cs="Arial"/>
          <w:lang w:eastAsia="en-GB"/>
        </w:rPr>
        <w:t>, 15-23.</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Haddaway, N. R., Jackson, A. L., and Jones, J. P. G. (2015). Environmental filtering of macrophyte species composition by water chemistry and light availability. </w:t>
      </w:r>
      <w:r w:rsidRPr="007C4084">
        <w:rPr>
          <w:rStyle w:val="Emphasis"/>
        </w:rPr>
        <w:t>Journal of Applied Ecology</w:t>
      </w:r>
      <w:r w:rsidRPr="007C4084">
        <w:t>, 52(2), 435–445.</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Hauer, F. R., and Lamberti, G. A. (2017). </w:t>
      </w:r>
      <w:r w:rsidRPr="007C4084">
        <w:rPr>
          <w:rStyle w:val="Emphasis"/>
        </w:rPr>
        <w:t>Methods in Stream Ecology</w:t>
      </w:r>
      <w:r w:rsidRPr="007C4084">
        <w:t xml:space="preserve"> (3rd ed.). Elsevier.</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Hilt, S., Gross, E. M., Hupfer, M., and Morscheid, H. (2006). Restoration of submerged vegetation in shallow eutrophic lakes—A guideline for assessing the chances of macrophyte re-establishment in shallow lakes. </w:t>
      </w:r>
      <w:r w:rsidRPr="007C4084">
        <w:rPr>
          <w:rStyle w:val="Emphasis"/>
        </w:rPr>
        <w:t>Hydrobiologia, 570</w:t>
      </w:r>
      <w:r w:rsidRPr="007C4084">
        <w:t>(1), 71-80.</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Jeppesen, E., Søndergaard, M., Jensen, J. P., Havens, K. E., Anneville, O., Carvalho, L.,  </w:t>
      </w:r>
      <w:r w:rsidRPr="007C4084">
        <w:t xml:space="preserve">and </w:t>
      </w:r>
      <w:r w:rsidRPr="007C4084">
        <w:rPr>
          <w:rFonts w:ascii="Arial" w:hAnsi="Arial" w:cs="Arial"/>
          <w:lang w:val="en-GB" w:eastAsia="en-GB"/>
        </w:rPr>
        <w:t xml:space="preserve">Moss, B. (2005). Lake responses to reduced nutrient loading—an analysis of contemporary long-term data from 35 case studies. </w:t>
      </w:r>
      <w:r w:rsidRPr="007C4084">
        <w:rPr>
          <w:rFonts w:ascii="Arial" w:hAnsi="Arial" w:cs="Arial"/>
          <w:i/>
          <w:lang w:val="en-GB" w:eastAsia="en-GB"/>
        </w:rPr>
        <w:t>Freshwater Biology</w:t>
      </w:r>
      <w:r w:rsidRPr="007C4084">
        <w:rPr>
          <w:rFonts w:ascii="Arial" w:hAnsi="Arial" w:cs="Arial"/>
          <w:lang w:val="en-GB" w:eastAsia="en-GB"/>
        </w:rPr>
        <w:t>, 50(10), 1747-1771.</w:t>
      </w:r>
    </w:p>
    <w:p w:rsidR="007C4084" w:rsidRPr="007C4084" w:rsidRDefault="007C4084" w:rsidP="00A72992">
      <w:pPr>
        <w:pStyle w:val="Body"/>
        <w:numPr>
          <w:ilvl w:val="0"/>
          <w:numId w:val="2"/>
        </w:numPr>
        <w:spacing w:after="0"/>
        <w:rPr>
          <w:rFonts w:ascii="Arial" w:hAnsi="Arial" w:cs="Arial"/>
          <w:lang w:val="en-GB" w:eastAsia="en-GB"/>
        </w:rPr>
      </w:pPr>
      <w:r w:rsidRPr="007C4084">
        <w:rPr>
          <w:rStyle w:val="Strong"/>
          <w:b w:val="0"/>
        </w:rPr>
        <w:t xml:space="preserve">Jin, Q., </w:t>
      </w:r>
      <w:r w:rsidRPr="007C4084">
        <w:t xml:space="preserve">and </w:t>
      </w:r>
      <w:r w:rsidRPr="007C4084">
        <w:rPr>
          <w:rStyle w:val="Strong"/>
          <w:b w:val="0"/>
        </w:rPr>
        <w:t>Huo, Y. (2020). Wetland vegetation dynamics and their role in carbon storage in freshwater ecosystems.</w:t>
      </w:r>
      <w:r w:rsidRPr="007C4084">
        <w:rPr>
          <w:b/>
        </w:rPr>
        <w:t xml:space="preserve"> </w:t>
      </w:r>
      <w:r w:rsidRPr="007C4084">
        <w:rPr>
          <w:rStyle w:val="Emphasis"/>
        </w:rPr>
        <w:t>Global Biogeochemical Cycles, 34</w:t>
      </w:r>
      <w:r w:rsidRPr="007C4084">
        <w:t>(6)</w:t>
      </w:r>
    </w:p>
    <w:p w:rsidR="007C4084" w:rsidRPr="007C4084" w:rsidRDefault="007C4084" w:rsidP="00A72992">
      <w:pPr>
        <w:pStyle w:val="Body"/>
        <w:numPr>
          <w:ilvl w:val="0"/>
          <w:numId w:val="2"/>
        </w:numPr>
        <w:spacing w:after="0"/>
        <w:rPr>
          <w:rFonts w:ascii="Arial" w:hAnsi="Arial" w:cs="Arial"/>
          <w:lang w:val="en-GB" w:eastAsia="en-GB"/>
        </w:rPr>
      </w:pPr>
      <w:r w:rsidRPr="007C4084">
        <w:t>Lenters, J. D., Arhonditsis, G. B., Beletsky, D., Bunnell, D. B., Chaffin, J. D., Coloso, J. J., ... &amp; Yackulic, C. B. (2021).</w:t>
      </w:r>
      <w:r w:rsidRPr="007C4084">
        <w:rPr>
          <w:rStyle w:val="Strong"/>
          <w:b w:val="0"/>
        </w:rPr>
        <w:t xml:space="preserve"> Advances in high-frequency monitoring </w:t>
      </w:r>
      <w:r w:rsidRPr="007C4084">
        <w:rPr>
          <w:rStyle w:val="Strong"/>
          <w:b w:val="0"/>
        </w:rPr>
        <w:lastRenderedPageBreak/>
        <w:t>of inland waters: Opportunities and challenges.</w:t>
      </w:r>
      <w:r w:rsidRPr="007C4084">
        <w:rPr>
          <w:b/>
        </w:rPr>
        <w:t xml:space="preserve"> </w:t>
      </w:r>
      <w:r w:rsidRPr="007C4084">
        <w:rPr>
          <w:rStyle w:val="Emphasis"/>
        </w:rPr>
        <w:t>Limnology and Oceanography: Methods, 19</w:t>
      </w:r>
      <w:r w:rsidRPr="007C4084">
        <w:t>(3), 132-146.</w:t>
      </w:r>
      <w:r w:rsidRPr="007C4084">
        <w:rPr>
          <w:rFonts w:ascii="Arial" w:hAnsi="Arial" w:cs="Arial"/>
          <w:lang w:val="en-GB" w:eastAsia="en-GB"/>
        </w:rPr>
        <w:t>.</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Majeed, L. R., Sharma, D., Rautela, K. S., </w:t>
      </w:r>
      <w:r w:rsidRPr="007C4084">
        <w:t xml:space="preserve">and </w:t>
      </w:r>
      <w:r w:rsidRPr="007C4084">
        <w:rPr>
          <w:rFonts w:ascii="Arial" w:hAnsi="Arial" w:cs="Arial"/>
          <w:lang w:val="en-GB" w:eastAsia="en-GB"/>
        </w:rPr>
        <w:t>Kumar, M. (2025). Sustainable agriculture, aquaculture, and phytoremediation through freshwater macrophytes: A comprehensive review of mineral uptake, soil health, and water quality dynamics. Discover Water, 5(1), 1-15..</w:t>
      </w:r>
    </w:p>
    <w:p w:rsidR="007C4084" w:rsidRPr="007C4084" w:rsidRDefault="007C4084" w:rsidP="00A72992">
      <w:pPr>
        <w:pStyle w:val="Body"/>
        <w:numPr>
          <w:ilvl w:val="0"/>
          <w:numId w:val="2"/>
        </w:numPr>
        <w:spacing w:after="0"/>
        <w:rPr>
          <w:rFonts w:ascii="Arial" w:hAnsi="Arial" w:cs="Arial"/>
          <w:lang w:val="en-GB" w:eastAsia="en-GB"/>
        </w:rPr>
      </w:pPr>
      <w:r w:rsidRPr="007C4084">
        <w:rPr>
          <w:rStyle w:val="Strong"/>
          <w:b w:val="0"/>
        </w:rPr>
        <w:t>Margalef, R. (1963). On certain unifying principles in ecology.</w:t>
      </w:r>
      <w:r w:rsidRPr="007C4084">
        <w:t xml:space="preserve"> </w:t>
      </w:r>
      <w:r w:rsidRPr="007C4084">
        <w:rPr>
          <w:rStyle w:val="Emphasis"/>
        </w:rPr>
        <w:t>American Naturalist, 97</w:t>
      </w:r>
      <w:r w:rsidRPr="007C4084">
        <w:t>(897), 357-374.</w:t>
      </w:r>
      <w:r w:rsidRPr="007C4084">
        <w:rPr>
          <w:rFonts w:ascii="Arial" w:hAnsi="Arial" w:cs="Arial"/>
          <w:lang w:val="en-GB" w:eastAsia="en-GB"/>
        </w:rPr>
        <w:t>.</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Marzolf, N. S., Ardón, M., Golladay, S. W., and Smith, C. S. (2019). Ecosystem metabolism in tropical streams and rivers: A review and synthesis. </w:t>
      </w:r>
      <w:r w:rsidRPr="007C4084">
        <w:rPr>
          <w:rStyle w:val="Emphasis"/>
        </w:rPr>
        <w:t>Limnology and Oceanography</w:t>
      </w:r>
      <w:r w:rsidRPr="007C4084">
        <w:t>, 66(5), 1627–1638.</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Onwordi, C. T., Adigun, O., </w:t>
      </w:r>
      <w:r w:rsidRPr="007C4084">
        <w:rPr>
          <w:rStyle w:val="Strong"/>
          <w:b w:val="0"/>
        </w:rPr>
        <w:t xml:space="preserve">and </w:t>
      </w:r>
      <w:r w:rsidRPr="007C4084">
        <w:rPr>
          <w:rFonts w:ascii="Arial" w:hAnsi="Arial" w:cs="Arial"/>
          <w:lang w:val="en-GB" w:eastAsia="en-GB"/>
        </w:rPr>
        <w:t xml:space="preserve">Agboola, O. (2019). "Macrophyte diversity in Nigerian freshwater ecosystems: a review." </w:t>
      </w:r>
      <w:r w:rsidRPr="007C4084">
        <w:rPr>
          <w:rFonts w:ascii="Arial" w:hAnsi="Arial" w:cs="Arial"/>
          <w:i/>
          <w:iCs/>
          <w:lang w:val="en-GB" w:eastAsia="en-GB"/>
        </w:rPr>
        <w:t>Journal of Environmental Biology</w:t>
      </w:r>
      <w:r w:rsidRPr="007C4084">
        <w:rPr>
          <w:rFonts w:ascii="Arial" w:hAnsi="Arial" w:cs="Arial"/>
          <w:lang w:val="en-GB" w:eastAsia="en-GB"/>
        </w:rPr>
        <w:t>, 40(3), 529-540.</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Padial, A. A., Declerck, S. A. J., </w:t>
      </w:r>
      <w:r w:rsidRPr="007C4084">
        <w:rPr>
          <w:rStyle w:val="Strong"/>
          <w:b w:val="0"/>
        </w:rPr>
        <w:t xml:space="preserve">and </w:t>
      </w:r>
      <w:r w:rsidRPr="007C4084">
        <w:rPr>
          <w:rFonts w:ascii="Arial" w:hAnsi="Arial" w:cs="Arial"/>
          <w:lang w:val="en-GB" w:eastAsia="en-GB"/>
        </w:rPr>
        <w:t xml:space="preserve">De Meester, L. (2015). Determinants of macrophyte species richness in lowland ponds: The importance of habitat diversity and eutropHication. </w:t>
      </w:r>
      <w:r w:rsidRPr="007C4084">
        <w:rPr>
          <w:rFonts w:ascii="Arial" w:hAnsi="Arial" w:cs="Arial"/>
          <w:i/>
          <w:iCs/>
          <w:lang w:val="en-GB" w:eastAsia="en-GB"/>
        </w:rPr>
        <w:t>Freshwater Biology, 60</w:t>
      </w:r>
      <w:r w:rsidRPr="007C4084">
        <w:rPr>
          <w:rFonts w:ascii="Arial" w:hAnsi="Arial" w:cs="Arial"/>
          <w:lang w:val="en-GB" w:eastAsia="en-GB"/>
        </w:rPr>
        <w:t xml:space="preserve">(1), 1362-1372. </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Paerl, H. W., </w:t>
      </w:r>
      <w:r w:rsidRPr="007C4084">
        <w:rPr>
          <w:rStyle w:val="Strong"/>
          <w:b w:val="0"/>
        </w:rPr>
        <w:t xml:space="preserve">and </w:t>
      </w:r>
      <w:r w:rsidRPr="007C4084">
        <w:rPr>
          <w:rFonts w:ascii="Arial" w:hAnsi="Arial" w:cs="Arial"/>
          <w:lang w:val="en-GB" w:eastAsia="en-GB"/>
        </w:rPr>
        <w:t xml:space="preserve">Otten, T. G. (2013). Harmful cyanobacterial blooms: Causes, consequences, and controls. </w:t>
      </w:r>
      <w:r w:rsidRPr="007C4084">
        <w:rPr>
          <w:rFonts w:ascii="Arial" w:hAnsi="Arial" w:cs="Arial"/>
          <w:i/>
          <w:iCs/>
          <w:lang w:val="en-GB" w:eastAsia="en-GB"/>
        </w:rPr>
        <w:t>Microbial Ecology, 65</w:t>
      </w:r>
      <w:r w:rsidRPr="007C4084">
        <w:rPr>
          <w:rFonts w:ascii="Arial" w:hAnsi="Arial" w:cs="Arial"/>
          <w:lang w:val="en-GB" w:eastAsia="en-GB"/>
        </w:rPr>
        <w:t xml:space="preserve">(3), 995-1010. </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Pereira, G. A., Thomaz, S. M., </w:t>
      </w:r>
      <w:r w:rsidRPr="007C4084">
        <w:rPr>
          <w:rStyle w:val="Strong"/>
          <w:b w:val="0"/>
        </w:rPr>
        <w:t xml:space="preserve">and </w:t>
      </w:r>
      <w:r w:rsidRPr="007C4084">
        <w:rPr>
          <w:rFonts w:ascii="Arial" w:hAnsi="Arial" w:cs="Arial"/>
          <w:lang w:val="en-GB" w:eastAsia="en-GB"/>
        </w:rPr>
        <w:t xml:space="preserve">MurpHy, K. J. (2013). "Nutrient enrichment and macrophyte composition in tropical rivers." </w:t>
      </w:r>
      <w:r w:rsidRPr="007C4084">
        <w:rPr>
          <w:rFonts w:ascii="Arial" w:hAnsi="Arial" w:cs="Arial"/>
          <w:i/>
          <w:iCs/>
          <w:lang w:val="en-GB" w:eastAsia="en-GB"/>
        </w:rPr>
        <w:t>Hydrobiologia</w:t>
      </w:r>
      <w:r w:rsidRPr="007C4084">
        <w:rPr>
          <w:rFonts w:ascii="Arial" w:hAnsi="Arial" w:cs="Arial"/>
          <w:lang w:val="en-GB" w:eastAsia="en-GB"/>
        </w:rPr>
        <w:t>, 714(1), 65-76.</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Pielou, E. C. (1966). The measurement of diversity in different types of biological collections. </w:t>
      </w:r>
      <w:r w:rsidRPr="007C4084">
        <w:rPr>
          <w:rFonts w:ascii="Arial" w:hAnsi="Arial" w:cs="Arial"/>
          <w:i/>
          <w:iCs/>
          <w:lang w:val="en-GB" w:eastAsia="en-GB"/>
        </w:rPr>
        <w:t>Journal of Theoretical Biology</w:t>
      </w:r>
      <w:r w:rsidRPr="007C4084">
        <w:rPr>
          <w:rFonts w:ascii="Arial" w:hAnsi="Arial" w:cs="Arial"/>
          <w:lang w:val="en-GB" w:eastAsia="en-GB"/>
        </w:rPr>
        <w:t>, 13, 131-144.</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Reid, A. J., Carlson, A. K., Creed, I. F., Eliason, E. J., Gell, P. A., Johnson, P. T. J., et al. (2019). Emerging threats and persistent conservation challenges for freshwater biodiversity. </w:t>
      </w:r>
      <w:r w:rsidRPr="007C4084">
        <w:rPr>
          <w:rFonts w:ascii="Arial" w:hAnsi="Arial" w:cs="Arial"/>
          <w:i/>
          <w:iCs/>
          <w:lang w:val="en-GB" w:eastAsia="en-GB"/>
        </w:rPr>
        <w:t>Biological Reviews</w:t>
      </w:r>
      <w:r w:rsidRPr="007C4084">
        <w:rPr>
          <w:rFonts w:ascii="Arial" w:hAnsi="Arial" w:cs="Arial"/>
          <w:lang w:val="en-GB" w:eastAsia="en-GB"/>
        </w:rPr>
        <w:t>, 94(3), 849-873.</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Reitsema, R. E., Meire, P., </w:t>
      </w:r>
      <w:r w:rsidRPr="007C4084">
        <w:rPr>
          <w:rStyle w:val="Strong"/>
          <w:b w:val="0"/>
        </w:rPr>
        <w:t xml:space="preserve">and </w:t>
      </w:r>
      <w:r w:rsidRPr="007C4084">
        <w:rPr>
          <w:rFonts w:ascii="Arial" w:hAnsi="Arial" w:cs="Arial"/>
          <w:lang w:val="en-GB" w:eastAsia="en-GB"/>
        </w:rPr>
        <w:t xml:space="preserve">Schoelynck, J. (2018). "Humic substances and aquatic plant communities: a complex relationship." </w:t>
      </w:r>
      <w:r w:rsidRPr="007C4084">
        <w:rPr>
          <w:rFonts w:ascii="Arial" w:hAnsi="Arial" w:cs="Arial"/>
          <w:i/>
          <w:iCs/>
          <w:lang w:val="en-GB" w:eastAsia="en-GB"/>
        </w:rPr>
        <w:t>Freshwater Biology</w:t>
      </w:r>
      <w:r w:rsidRPr="007C4084">
        <w:rPr>
          <w:rFonts w:ascii="Arial" w:hAnsi="Arial" w:cs="Arial"/>
          <w:lang w:val="en-GB" w:eastAsia="en-GB"/>
        </w:rPr>
        <w:t>, 63(5), 597-611.</w:t>
      </w:r>
    </w:p>
    <w:p w:rsidR="007C4084" w:rsidRPr="007C4084" w:rsidRDefault="007C4084" w:rsidP="00EB4FCE">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Rugenski, A. T., Murria, C., </w:t>
      </w:r>
      <w:r w:rsidRPr="007C4084">
        <w:rPr>
          <w:rStyle w:val="Strong"/>
          <w:b w:val="0"/>
        </w:rPr>
        <w:t xml:space="preserve">and </w:t>
      </w:r>
      <w:r w:rsidRPr="007C4084">
        <w:rPr>
          <w:rFonts w:ascii="Arial" w:hAnsi="Arial" w:cs="Arial"/>
          <w:lang w:val="en-GB" w:eastAsia="en-GB"/>
        </w:rPr>
        <w:t xml:space="preserve">Lamberti, G. A. (2014). "Environmental gradients and their influence on macrophyte and periphyton distribution in tropical rivers." </w:t>
      </w:r>
      <w:r w:rsidRPr="007C4084">
        <w:rPr>
          <w:rFonts w:ascii="Arial" w:hAnsi="Arial" w:cs="Arial"/>
          <w:i/>
          <w:iCs/>
          <w:lang w:val="en-GB" w:eastAsia="en-GB"/>
        </w:rPr>
        <w:t>Freshwater Biology</w:t>
      </w:r>
      <w:r w:rsidRPr="007C4084">
        <w:rPr>
          <w:rFonts w:ascii="Arial" w:hAnsi="Arial" w:cs="Arial"/>
          <w:lang w:val="en-GB" w:eastAsia="en-GB"/>
        </w:rPr>
        <w:t>, 60(1), 104-117.</w:t>
      </w:r>
    </w:p>
    <w:p w:rsidR="007C4084" w:rsidRPr="007C4084" w:rsidRDefault="007C4084" w:rsidP="00A72992">
      <w:pPr>
        <w:pStyle w:val="Body"/>
        <w:numPr>
          <w:ilvl w:val="0"/>
          <w:numId w:val="2"/>
        </w:numPr>
        <w:spacing w:after="0"/>
        <w:rPr>
          <w:rFonts w:ascii="Arial" w:hAnsi="Arial" w:cs="Arial"/>
          <w:lang w:val="en-GB" w:eastAsia="en-GB"/>
        </w:rPr>
      </w:pPr>
      <w:r w:rsidRPr="007C4084">
        <w:rPr>
          <w:rStyle w:val="Strong"/>
          <w:b w:val="0"/>
        </w:rPr>
        <w:t xml:space="preserve">Santos, M. J., </w:t>
      </w:r>
      <w:r w:rsidRPr="007C4084">
        <w:t xml:space="preserve">and </w:t>
      </w:r>
      <w:r w:rsidRPr="007C4084">
        <w:rPr>
          <w:rStyle w:val="Strong"/>
          <w:b w:val="0"/>
        </w:rPr>
        <w:t>Anderson, L. W. (2019). Quantitative methods for macrophyte sampling: Comparing field survey and remote sensing techniques.</w:t>
      </w:r>
      <w:r w:rsidRPr="007C4084">
        <w:rPr>
          <w:b/>
        </w:rPr>
        <w:t xml:space="preserve"> </w:t>
      </w:r>
      <w:r w:rsidRPr="007C4084">
        <w:rPr>
          <w:rStyle w:val="Emphasis"/>
        </w:rPr>
        <w:t>Aquatic Plant</w:t>
      </w:r>
      <w:r w:rsidRPr="007C4084">
        <w:rPr>
          <w:rStyle w:val="Emphasis"/>
          <w:b/>
        </w:rPr>
        <w:t xml:space="preserve"> </w:t>
      </w:r>
      <w:r w:rsidRPr="007C4084">
        <w:rPr>
          <w:rStyle w:val="Emphasis"/>
        </w:rPr>
        <w:t>Management Society, 57</w:t>
      </w:r>
      <w:r w:rsidRPr="007C4084">
        <w:t>(3), 118-127.</w:t>
      </w:r>
      <w:r w:rsidRPr="007C4084">
        <w:rPr>
          <w:rFonts w:ascii="Arial" w:hAnsi="Arial" w:cs="Arial"/>
          <w:lang w:val="en-GB" w:eastAsia="en-GB"/>
        </w:rPr>
        <w:t>.</w:t>
      </w:r>
    </w:p>
    <w:p w:rsidR="007C4084" w:rsidRPr="007C4084" w:rsidRDefault="007C4084" w:rsidP="00A72992">
      <w:pPr>
        <w:pStyle w:val="Body"/>
        <w:numPr>
          <w:ilvl w:val="0"/>
          <w:numId w:val="2"/>
        </w:numPr>
        <w:spacing w:after="0"/>
        <w:rPr>
          <w:rFonts w:ascii="Arial" w:hAnsi="Arial" w:cs="Arial"/>
          <w:lang w:val="en-GB" w:eastAsia="en-GB"/>
        </w:rPr>
      </w:pPr>
      <w:r w:rsidRPr="007C4084">
        <w:rPr>
          <w:rStyle w:val="Strong"/>
          <w:b w:val="0"/>
        </w:rPr>
        <w:t>Sayer, C. D., Burgess, A., and Carvalho, L. (2017). Exploring relationships between limnological variables, aquatic macrophytes, and phytoplankton in temperate lakes.</w:t>
      </w:r>
      <w:r w:rsidRPr="007C4084">
        <w:t xml:space="preserve"> </w:t>
      </w:r>
      <w:r w:rsidRPr="007C4084">
        <w:rPr>
          <w:rStyle w:val="Emphasis"/>
        </w:rPr>
        <w:t>Freshwater Biology, 62</w:t>
      </w:r>
      <w:r w:rsidRPr="007C4084">
        <w:t>(8), 1472-1487</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Schneider, S. C., Petrin, Z., and Seger, A. (2016). Assessing macrophyte dynamics in freshwater ecosystems: New insights from field studies and long-term research. </w:t>
      </w:r>
      <w:r w:rsidRPr="007C4084">
        <w:rPr>
          <w:rFonts w:ascii="Arial" w:hAnsi="Arial" w:cs="Arial"/>
          <w:i/>
          <w:iCs/>
          <w:lang w:val="en-GB" w:eastAsia="en-GB"/>
        </w:rPr>
        <w:t>Aquatic Conservation: Marine and Freshwater Ecosystems</w:t>
      </w:r>
      <w:r w:rsidRPr="007C4084">
        <w:rPr>
          <w:rFonts w:ascii="Arial" w:hAnsi="Arial" w:cs="Arial"/>
          <w:lang w:val="en-GB" w:eastAsia="en-GB"/>
        </w:rPr>
        <w:t>, 26(4), 568-577.</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Shannon, C. E., and Wiener, W. (1963). </w:t>
      </w:r>
      <w:r w:rsidRPr="007C4084">
        <w:rPr>
          <w:rFonts w:ascii="Arial" w:hAnsi="Arial" w:cs="Arial"/>
          <w:i/>
          <w:iCs/>
          <w:lang w:val="en-GB" w:eastAsia="en-GB"/>
        </w:rPr>
        <w:t>The Mathematical Theory of Communication</w:t>
      </w:r>
      <w:r w:rsidRPr="007C4084">
        <w:rPr>
          <w:rFonts w:ascii="Arial" w:hAnsi="Arial" w:cs="Arial"/>
          <w:lang w:val="en-GB" w:eastAsia="en-GB"/>
        </w:rPr>
        <w:t>. University of Illinois Press.</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Sharma, P., Sharma, S., and Sharma, S. (2024). Exploring the impact of heavy metals toxicity in the aquatic environment. </w:t>
      </w:r>
      <w:r w:rsidRPr="007C4084">
        <w:rPr>
          <w:rStyle w:val="Emphasis"/>
        </w:rPr>
        <w:t>Environmental Science and Pollution Research</w:t>
      </w:r>
      <w:r w:rsidRPr="007C4084">
        <w:t>, 30(10), 1–15.</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Smith, V. H., Tilman, G. D., and Nekola, J. C. (1999). Eutrophication: Impacts of excess nutrient inputs on freshwater, marine, and terrestrial ecosystems. </w:t>
      </w:r>
      <w:r w:rsidRPr="007C4084">
        <w:rPr>
          <w:rStyle w:val="Emphasis"/>
        </w:rPr>
        <w:t>Environmental Pollution</w:t>
      </w:r>
      <w:r w:rsidRPr="007C4084">
        <w:t>, 100(1-3), 179-196.</w:t>
      </w:r>
      <w:r w:rsidRPr="007C4084">
        <w:rPr>
          <w:rFonts w:ascii="Arial" w:hAnsi="Arial" w:cs="Arial"/>
          <w:lang w:val="en-GB" w:eastAsia="en-GB"/>
        </w:rPr>
        <w:t>.</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Solimini, A. G., Cardoso, A. C., &amp; Premazzi, G. (2015). Freshwater biodiversity and ecosystem services. In A. van Apeldoorn (Ed.), </w:t>
      </w:r>
      <w:r w:rsidRPr="007C4084">
        <w:rPr>
          <w:rFonts w:ascii="Arial" w:hAnsi="Arial" w:cs="Arial"/>
          <w:i/>
          <w:iCs/>
          <w:lang w:val="en-GB" w:eastAsia="en-GB"/>
        </w:rPr>
        <w:t>Global assessment of freshwater and wetland ecosystems</w:t>
      </w:r>
      <w:r w:rsidRPr="007C4084">
        <w:rPr>
          <w:rFonts w:ascii="Arial" w:hAnsi="Arial" w:cs="Arial"/>
          <w:lang w:val="en-GB" w:eastAsia="en-GB"/>
        </w:rPr>
        <w:t xml:space="preserve"> (pp. 75-106). </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lastRenderedPageBreak/>
        <w:t xml:space="preserve">Solomon, C. T., Bruesewitz, D. A., Richardson, D. C., </w:t>
      </w:r>
      <w:r w:rsidRPr="007C4084">
        <w:rPr>
          <w:rStyle w:val="Strong"/>
          <w:b w:val="0"/>
        </w:rPr>
        <w:t xml:space="preserve">and </w:t>
      </w:r>
      <w:r w:rsidRPr="007C4084">
        <w:rPr>
          <w:rFonts w:ascii="Arial" w:hAnsi="Arial" w:cs="Arial"/>
          <w:lang w:val="en-GB" w:eastAsia="en-GB"/>
        </w:rPr>
        <w:t xml:space="preserve">Rose, K. C. (2015). "The ecological consequences of dissolved organic carbon in freshwater ecosystems." </w:t>
      </w:r>
      <w:r w:rsidRPr="007C4084">
        <w:rPr>
          <w:rFonts w:ascii="Arial" w:hAnsi="Arial" w:cs="Arial"/>
          <w:i/>
          <w:iCs/>
          <w:lang w:val="en-GB" w:eastAsia="en-GB"/>
        </w:rPr>
        <w:t>Limnology and Oceanography</w:t>
      </w:r>
      <w:r w:rsidRPr="007C4084">
        <w:rPr>
          <w:rFonts w:ascii="Arial" w:hAnsi="Arial" w:cs="Arial"/>
          <w:lang w:val="en-GB" w:eastAsia="en-GB"/>
        </w:rPr>
        <w:t>, 60(5), 1523-1533.</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Sorrell, B. K., Tanner, C. C., </w:t>
      </w:r>
      <w:r w:rsidRPr="007C4084">
        <w:rPr>
          <w:rStyle w:val="Strong"/>
          <w:b w:val="0"/>
        </w:rPr>
        <w:t xml:space="preserve">and </w:t>
      </w:r>
      <w:r w:rsidRPr="007C4084">
        <w:rPr>
          <w:rFonts w:ascii="Arial" w:hAnsi="Arial" w:cs="Arial"/>
          <w:lang w:val="en-GB" w:eastAsia="en-GB"/>
        </w:rPr>
        <w:t xml:space="preserve">Sukias, J. P. S. (2016). Nutrient assimilation by wetland plants: Influence of temperature and nutrient status. </w:t>
      </w:r>
      <w:r w:rsidRPr="007C4084">
        <w:rPr>
          <w:rFonts w:ascii="Arial" w:hAnsi="Arial" w:cs="Arial"/>
          <w:i/>
          <w:iCs/>
          <w:lang w:val="en-GB" w:eastAsia="en-GB"/>
        </w:rPr>
        <w:t>Journal of Environmental Quality, 45</w:t>
      </w:r>
      <w:r w:rsidRPr="007C4084">
        <w:rPr>
          <w:rFonts w:ascii="Arial" w:hAnsi="Arial" w:cs="Arial"/>
          <w:lang w:val="en-GB" w:eastAsia="en-GB"/>
        </w:rPr>
        <w:t xml:space="preserve">(4), 1335-1345. </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Tiwari, S., Chauhan, P. S., </w:t>
      </w:r>
      <w:r w:rsidRPr="007C4084">
        <w:rPr>
          <w:rStyle w:val="Strong"/>
          <w:b w:val="0"/>
        </w:rPr>
        <w:t xml:space="preserve">and </w:t>
      </w:r>
      <w:r w:rsidRPr="007C4084">
        <w:rPr>
          <w:rFonts w:ascii="Arial" w:hAnsi="Arial" w:cs="Arial"/>
          <w:lang w:val="en-GB" w:eastAsia="en-GB"/>
        </w:rPr>
        <w:t xml:space="preserve">Nautiyal, C. S. (2020). The role of aquatic Macrophytes  in mitigating chromium contamination in wetlands. </w:t>
      </w:r>
      <w:r w:rsidRPr="007C4084">
        <w:rPr>
          <w:rFonts w:ascii="Arial" w:hAnsi="Arial" w:cs="Arial"/>
          <w:i/>
          <w:iCs/>
          <w:lang w:val="en-GB" w:eastAsia="en-GB"/>
        </w:rPr>
        <w:t>Ecotoxicology, 29</w:t>
      </w:r>
      <w:r w:rsidRPr="007C4084">
        <w:rPr>
          <w:rFonts w:ascii="Arial" w:hAnsi="Arial" w:cs="Arial"/>
          <w:lang w:val="en-GB" w:eastAsia="en-GB"/>
        </w:rPr>
        <w:t xml:space="preserve">(3), 215-225. </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Tranvik, L. J., Downing, J. A., </w:t>
      </w:r>
      <w:r w:rsidRPr="007C4084">
        <w:rPr>
          <w:rStyle w:val="Strong"/>
          <w:b w:val="0"/>
        </w:rPr>
        <w:t xml:space="preserve">and </w:t>
      </w:r>
      <w:r w:rsidRPr="007C4084">
        <w:t xml:space="preserve">Cotner, J. B. (2001). Humic lakes: The role of dissolved organic carbon in freshwater ecosystems. </w:t>
      </w:r>
      <w:r w:rsidRPr="007C4084">
        <w:rPr>
          <w:rStyle w:val="Emphasis"/>
        </w:rPr>
        <w:t>Limnology and Oceanography</w:t>
      </w:r>
      <w:r w:rsidRPr="007C4084">
        <w:t>, 46(2), 352-361</w:t>
      </w:r>
      <w:r w:rsidRPr="007C4084">
        <w:rPr>
          <w:rFonts w:ascii="Arial" w:hAnsi="Arial" w:cs="Arial"/>
          <w:lang w:val="en-GB" w:eastAsia="en-GB"/>
        </w:rPr>
        <w:t>.</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Vardanyan, L., </w:t>
      </w:r>
      <w:r w:rsidRPr="007C4084">
        <w:rPr>
          <w:rStyle w:val="Strong"/>
          <w:b w:val="0"/>
        </w:rPr>
        <w:t xml:space="preserve">and </w:t>
      </w:r>
      <w:r w:rsidRPr="007C4084">
        <w:t xml:space="preserve">Ingole, B. S. (2012). Heavy metals and their effects on aquatic macrophytes in the industrially polluted rivers. </w:t>
      </w:r>
      <w:r w:rsidRPr="007C4084">
        <w:rPr>
          <w:rStyle w:val="Emphasis"/>
        </w:rPr>
        <w:t>Environmental Monitoring and Assessment</w:t>
      </w:r>
      <w:r w:rsidRPr="007C4084">
        <w:t>, 185(5), 4615-4629.</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Villamagna, A. M., </w:t>
      </w:r>
      <w:r w:rsidRPr="007C4084">
        <w:rPr>
          <w:rStyle w:val="Strong"/>
          <w:b w:val="0"/>
        </w:rPr>
        <w:t xml:space="preserve">and </w:t>
      </w:r>
      <w:r w:rsidRPr="007C4084">
        <w:rPr>
          <w:rFonts w:ascii="Arial" w:hAnsi="Arial" w:cs="Arial"/>
          <w:lang w:val="en-GB" w:eastAsia="en-GB"/>
        </w:rPr>
        <w:t xml:space="preserve">MurpHy, B. R. (2015). "Ecological responses to nutrient enrichment in macrophyte-dominated aquatic ecosystems." </w:t>
      </w:r>
      <w:r w:rsidRPr="007C4084">
        <w:rPr>
          <w:rFonts w:ascii="Arial" w:hAnsi="Arial" w:cs="Arial"/>
          <w:i/>
          <w:iCs/>
          <w:lang w:val="en-GB" w:eastAsia="en-GB"/>
        </w:rPr>
        <w:t>Ecological Indicators</w:t>
      </w:r>
      <w:r w:rsidRPr="007C4084">
        <w:rPr>
          <w:rFonts w:ascii="Arial" w:hAnsi="Arial" w:cs="Arial"/>
          <w:lang w:val="en-GB" w:eastAsia="en-GB"/>
        </w:rPr>
        <w:t>, 52, 56-64.</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Wang, C., Huang, Y., Zhang, Y., Li, X., </w:t>
      </w:r>
      <w:r w:rsidRPr="007C4084">
        <w:rPr>
          <w:rStyle w:val="Strong"/>
          <w:b w:val="0"/>
        </w:rPr>
        <w:t xml:space="preserve">and </w:t>
      </w:r>
      <w:r w:rsidRPr="007C4084">
        <w:rPr>
          <w:rFonts w:ascii="Arial" w:hAnsi="Arial" w:cs="Arial"/>
          <w:lang w:val="en-GB" w:eastAsia="en-GB"/>
        </w:rPr>
        <w:t xml:space="preserve">Ni, L. (2016). Macrophyte responses to water quality and disturbance gradients in shallow freshwater lakes. </w:t>
      </w:r>
      <w:r w:rsidRPr="007C4084">
        <w:rPr>
          <w:rFonts w:ascii="Arial" w:hAnsi="Arial" w:cs="Arial"/>
          <w:i/>
          <w:iCs/>
          <w:lang w:val="en-GB" w:eastAsia="en-GB"/>
        </w:rPr>
        <w:t>Science of the Total Environment, 565</w:t>
      </w:r>
      <w:r w:rsidRPr="007C4084">
        <w:rPr>
          <w:rFonts w:ascii="Arial" w:hAnsi="Arial" w:cs="Arial"/>
          <w:lang w:val="en-GB" w:eastAsia="en-GB"/>
        </w:rPr>
        <w:t xml:space="preserve">, 1534-1542. </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Wetzel, R. G. (2023). "Limnology: Lake and River Ecosystems." 5th Edition. </w:t>
      </w:r>
      <w:r w:rsidRPr="007C4084">
        <w:rPr>
          <w:rFonts w:ascii="Arial" w:hAnsi="Arial" w:cs="Arial"/>
          <w:i/>
          <w:iCs/>
          <w:lang w:val="en-GB" w:eastAsia="en-GB"/>
        </w:rPr>
        <w:t>Academic Press</w:t>
      </w:r>
      <w:r w:rsidRPr="007C4084">
        <w:rPr>
          <w:rFonts w:ascii="Arial" w:hAnsi="Arial" w:cs="Arial"/>
          <w:lang w:val="en-GB" w:eastAsia="en-GB"/>
        </w:rPr>
        <w:t>, London.</w:t>
      </w:r>
    </w:p>
    <w:p w:rsidR="007C4084" w:rsidRPr="007C4084" w:rsidRDefault="007C4084" w:rsidP="00A72992">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Woolway, R. I., Jennings, E., </w:t>
      </w:r>
      <w:r w:rsidRPr="007C4084">
        <w:t xml:space="preserve">and </w:t>
      </w:r>
      <w:r w:rsidRPr="007C4084">
        <w:rPr>
          <w:rFonts w:ascii="Arial" w:hAnsi="Arial" w:cs="Arial"/>
          <w:lang w:val="en-GB" w:eastAsia="en-GB"/>
        </w:rPr>
        <w:t>Shatwell, T. (2021). Long-term lake warming trends and their implications for algal blooms. Nature Climate Change, 11(6), 491-496.</w:t>
      </w:r>
    </w:p>
    <w:p w:rsidR="007C4084" w:rsidRPr="007C4084" w:rsidRDefault="007C4084" w:rsidP="00A72992">
      <w:pPr>
        <w:pStyle w:val="Body"/>
        <w:numPr>
          <w:ilvl w:val="0"/>
          <w:numId w:val="2"/>
        </w:numPr>
        <w:spacing w:after="0"/>
        <w:rPr>
          <w:rFonts w:ascii="Arial" w:hAnsi="Arial" w:cs="Arial"/>
          <w:lang w:val="en-GB" w:eastAsia="en-GB"/>
        </w:rPr>
      </w:pPr>
      <w:r w:rsidRPr="007C4084">
        <w:t xml:space="preserve">Xu, H., Paerl, H. W., Qin, B., Zhu, G., Hall, N. S., </w:t>
      </w:r>
      <w:r w:rsidRPr="007C4084">
        <w:rPr>
          <w:rStyle w:val="Strong"/>
          <w:b w:val="0"/>
        </w:rPr>
        <w:t xml:space="preserve">and </w:t>
      </w:r>
      <w:r w:rsidRPr="007C4084">
        <w:t xml:space="preserve">Wu, Y. (2015). Determining critical nutrient thresholds needed to control harmful cyanobacterial blooms in eutrophic Lake Taihu, China. </w:t>
      </w:r>
      <w:r w:rsidRPr="007C4084">
        <w:rPr>
          <w:rStyle w:val="Emphasis"/>
        </w:rPr>
        <w:t>Environmental Science &amp; Technology</w:t>
      </w:r>
      <w:r w:rsidRPr="007C4084">
        <w:t>, 49(2), 1051-1059.</w:t>
      </w:r>
    </w:p>
    <w:p w:rsidR="007C4084" w:rsidRPr="007C4084" w:rsidRDefault="007C4084" w:rsidP="00687AAF">
      <w:pPr>
        <w:pStyle w:val="Body"/>
        <w:numPr>
          <w:ilvl w:val="0"/>
          <w:numId w:val="2"/>
        </w:numPr>
        <w:spacing w:after="0"/>
        <w:rPr>
          <w:rFonts w:ascii="Arial" w:hAnsi="Arial" w:cs="Arial"/>
          <w:lang w:val="en-GB" w:eastAsia="en-GB"/>
        </w:rPr>
      </w:pPr>
      <w:r w:rsidRPr="007C4084">
        <w:rPr>
          <w:rFonts w:ascii="Arial" w:hAnsi="Arial" w:cs="Arial"/>
          <w:lang w:val="en-GB" w:eastAsia="en-GB"/>
        </w:rPr>
        <w:t xml:space="preserve">Zhao, Q., He, X., &amp; Zhang, Y. (2020). Macrophyte growth dynamics and the influence of nitrogen loading in tropical freshwater ecosystems. </w:t>
      </w:r>
      <w:r w:rsidRPr="007C4084">
        <w:rPr>
          <w:rFonts w:ascii="Arial" w:hAnsi="Arial" w:cs="Arial"/>
          <w:i/>
          <w:iCs/>
          <w:lang w:val="en-GB" w:eastAsia="en-GB"/>
        </w:rPr>
        <w:t>Journal of Freshwater Ecology, 35</w:t>
      </w:r>
      <w:r w:rsidRPr="007C4084">
        <w:rPr>
          <w:rFonts w:ascii="Arial" w:hAnsi="Arial" w:cs="Arial"/>
          <w:lang w:val="en-GB" w:eastAsia="en-GB"/>
        </w:rPr>
        <w:t>(1), 57-69.</w:t>
      </w:r>
    </w:p>
    <w:p w:rsidR="007C4084" w:rsidRPr="007C4084" w:rsidRDefault="007C4084" w:rsidP="00687AAF">
      <w:pPr>
        <w:pStyle w:val="Body"/>
        <w:numPr>
          <w:ilvl w:val="0"/>
          <w:numId w:val="2"/>
        </w:numPr>
        <w:spacing w:after="0"/>
        <w:rPr>
          <w:rFonts w:ascii="Arial" w:hAnsi="Arial" w:cs="Arial"/>
          <w:lang w:val="en-GB" w:eastAsia="en-GB"/>
        </w:rPr>
      </w:pPr>
      <w:r w:rsidRPr="007C4084">
        <w:rPr>
          <w:rFonts w:ascii="Arial" w:hAnsi="Arial" w:cs="Arial"/>
          <w:lang w:eastAsia="en-GB"/>
        </w:rPr>
        <w:t xml:space="preserve">Zhao, Y., Zhang, Q., </w:t>
      </w:r>
      <w:r w:rsidRPr="007C4084">
        <w:rPr>
          <w:rStyle w:val="Strong"/>
          <w:b w:val="0"/>
        </w:rPr>
        <w:t xml:space="preserve">and </w:t>
      </w:r>
      <w:r w:rsidRPr="007C4084">
        <w:rPr>
          <w:rFonts w:ascii="Arial" w:hAnsi="Arial" w:cs="Arial"/>
          <w:lang w:eastAsia="en-GB"/>
        </w:rPr>
        <w:t xml:space="preserve">Chen, H. (2019). Effects of nitrogen and phosphorus inputs on leaf functional traits and photosynthesis of dominant emergent macrophytes in a freshwater wetland. </w:t>
      </w:r>
      <w:r w:rsidRPr="007C4084">
        <w:rPr>
          <w:rFonts w:ascii="Arial" w:hAnsi="Arial" w:cs="Arial"/>
          <w:i/>
          <w:iCs/>
          <w:lang w:eastAsia="en-GB"/>
        </w:rPr>
        <w:t>Environmental Science and Pollution Research</w:t>
      </w:r>
      <w:r w:rsidRPr="007C4084">
        <w:rPr>
          <w:rFonts w:ascii="Arial" w:hAnsi="Arial" w:cs="Arial"/>
          <w:lang w:eastAsia="en-GB"/>
        </w:rPr>
        <w:t>, 26(9), 8761-8771.</w:t>
      </w:r>
    </w:p>
    <w:p w:rsidR="00687AAF" w:rsidRPr="002C57D2" w:rsidRDefault="00687AAF" w:rsidP="00687AAF">
      <w:pPr>
        <w:pStyle w:val="Body"/>
        <w:spacing w:after="0"/>
        <w:rPr>
          <w:rFonts w:ascii="Arial" w:hAnsi="Arial" w:cs="Arial"/>
        </w:rPr>
      </w:pPr>
    </w:p>
    <w:p w:rsidR="00687AAF" w:rsidRPr="00FB3A86" w:rsidRDefault="00687AAF" w:rsidP="00687AAF">
      <w:pPr>
        <w:pStyle w:val="Appendix"/>
        <w:spacing w:after="0"/>
        <w:jc w:val="both"/>
        <w:rPr>
          <w:rFonts w:ascii="Arial" w:hAnsi="Arial" w:cs="Arial"/>
          <w:b w:val="0"/>
        </w:rPr>
        <w:sectPr w:rsidR="00687AAF" w:rsidRPr="00FB3A86" w:rsidSect="00275BBC">
          <w:pgSz w:w="12240" w:h="15840"/>
          <w:pgMar w:top="1440" w:right="2016" w:bottom="2016" w:left="2016" w:header="720" w:footer="1123" w:gutter="0"/>
          <w:cols w:space="720"/>
          <w:docGrid w:linePitch="272"/>
        </w:sectPr>
      </w:pPr>
    </w:p>
    <w:p w:rsidR="00687AAF" w:rsidRPr="00FB3A86" w:rsidRDefault="00687AAF" w:rsidP="00687AAF">
      <w:pPr>
        <w:pStyle w:val="Appendix"/>
        <w:spacing w:after="0"/>
        <w:jc w:val="both"/>
        <w:rPr>
          <w:rFonts w:ascii="Arial" w:hAnsi="Arial" w:cs="Arial"/>
          <w:b w:val="0"/>
        </w:rPr>
      </w:pPr>
    </w:p>
    <w:p w:rsidR="007C4084" w:rsidRDefault="007C4084" w:rsidP="007C4084">
      <w:pPr>
        <w:tabs>
          <w:tab w:val="left" w:pos="4845"/>
        </w:tabs>
      </w:pPr>
      <w:r>
        <w:tab/>
      </w:r>
    </w:p>
    <w:p w:rsidR="00F53C83" w:rsidRPr="007C4084" w:rsidRDefault="007C4084" w:rsidP="007C4084">
      <w:pPr>
        <w:tabs>
          <w:tab w:val="left" w:pos="4845"/>
        </w:tabs>
      </w:pPr>
      <w:r>
        <w:tab/>
      </w:r>
    </w:p>
    <w:sectPr w:rsidR="00F53C83" w:rsidRPr="007C4084" w:rsidSect="00275BB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EC0" w:rsidRDefault="00FC1EC0" w:rsidP="004D3AB0">
      <w:r>
        <w:separator/>
      </w:r>
    </w:p>
  </w:endnote>
  <w:endnote w:type="continuationSeparator" w:id="1">
    <w:p w:rsidR="00FC1EC0" w:rsidRDefault="00FC1EC0" w:rsidP="004D3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E4" w:rsidRDefault="00415E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E4" w:rsidRDefault="00415E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E4" w:rsidRPr="00275BBC" w:rsidRDefault="00415EE4" w:rsidP="00275BB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E4" w:rsidRPr="00C37E61" w:rsidRDefault="00415EE4" w:rsidP="00A729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EC0" w:rsidRDefault="00FC1EC0" w:rsidP="004D3AB0">
      <w:r>
        <w:separator/>
      </w:r>
    </w:p>
  </w:footnote>
  <w:footnote w:type="continuationSeparator" w:id="1">
    <w:p w:rsidR="00FC1EC0" w:rsidRDefault="00FC1EC0" w:rsidP="004D3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E4" w:rsidRDefault="00415EE4">
    <w:pPr>
      <w:pStyle w:val="Header"/>
    </w:pPr>
    <w:r w:rsidRPr="00B422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E4" w:rsidRDefault="00415EE4">
    <w:pPr>
      <w:pStyle w:val="Header"/>
    </w:pPr>
    <w:r w:rsidRPr="00B422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E4" w:rsidRPr="00296529" w:rsidRDefault="00415EE4" w:rsidP="00A72992">
    <w:pPr>
      <w:ind w:left="2160"/>
      <w:jc w:val="center"/>
      <w:rPr>
        <w:rFonts w:ascii="Times New Roman" w:eastAsia="Calibri" w:hAnsi="Times New Roman"/>
        <w:i/>
        <w:sz w:val="18"/>
        <w:szCs w:val="22"/>
      </w:rPr>
    </w:pPr>
    <w:r w:rsidRPr="00B422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415EE4" w:rsidRPr="00296529" w:rsidRDefault="00415EE4" w:rsidP="00A72992">
    <w:pPr>
      <w:ind w:left="4320"/>
      <w:rPr>
        <w:rFonts w:ascii="Times New Roman" w:eastAsia="Calibri" w:hAnsi="Times New Roman"/>
        <w:i/>
        <w:sz w:val="18"/>
        <w:szCs w:val="22"/>
      </w:rPr>
    </w:pPr>
    <w:r>
      <w:rPr>
        <w:rFonts w:ascii="Times New Roman" w:eastAsia="Calibri" w:hAnsi="Times New Roman"/>
        <w:i/>
        <w:sz w:val="18"/>
        <w:szCs w:val="22"/>
      </w:rPr>
      <w:t>.</w:t>
    </w:r>
  </w:p>
  <w:p w:rsidR="00415EE4" w:rsidRPr="00296529" w:rsidRDefault="00415EE4" w:rsidP="00A72992">
    <w:pPr>
      <w:jc w:val="center"/>
      <w:rPr>
        <w:rFonts w:ascii="Times New Roman" w:eastAsia="Calibri" w:hAnsi="Times New Roman"/>
        <w:i/>
        <w:sz w:val="18"/>
        <w:szCs w:val="22"/>
      </w:rPr>
    </w:pPr>
    <w:r>
      <w:rPr>
        <w:rFonts w:ascii="Times New Roman" w:eastAsia="Calibri" w:hAnsi="Times New Roman"/>
        <w:i/>
        <w:sz w:val="18"/>
        <w:szCs w:val="22"/>
      </w:rPr>
      <w:t>.</w:t>
    </w:r>
  </w:p>
  <w:p w:rsidR="00415EE4" w:rsidRPr="00296529" w:rsidRDefault="00415EE4" w:rsidP="00A72992">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415EE4" w:rsidRDefault="00415EE4" w:rsidP="00A72992">
    <w:pPr>
      <w:jc w:val="center"/>
      <w:rPr>
        <w:rFonts w:ascii="Times New Roman" w:eastAsia="Calibri" w:hAnsi="Times New Roman"/>
        <w:i/>
        <w:sz w:val="18"/>
        <w:szCs w:val="22"/>
      </w:rPr>
    </w:pPr>
  </w:p>
  <w:p w:rsidR="00415EE4" w:rsidRDefault="00415EE4" w:rsidP="00A7299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15EE4" w:rsidRDefault="00415EE4">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E4" w:rsidRDefault="00415EE4">
    <w:pPr>
      <w:pStyle w:val="Header"/>
    </w:pPr>
    <w:r w:rsidRPr="00B422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E4" w:rsidRDefault="00415EE4">
    <w:pPr>
      <w:pStyle w:val="Header"/>
    </w:pPr>
    <w:r w:rsidRPr="00B422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E4" w:rsidRDefault="00415EE4">
    <w:pPr>
      <w:pStyle w:val="Header"/>
    </w:pPr>
    <w:r w:rsidRPr="00B422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55DB6"/>
    <w:multiLevelType w:val="hybridMultilevel"/>
    <w:tmpl w:val="E558E7DA"/>
    <w:lvl w:ilvl="0" w:tplc="371A2D12">
      <w:start w:val="1"/>
      <w:numFmt w:val="decimal"/>
      <w:lvlText w:val="%1."/>
      <w:lvlJc w:val="left"/>
      <w:pPr>
        <w:ind w:left="107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687AAF"/>
    <w:rsid w:val="00021371"/>
    <w:rsid w:val="0005468B"/>
    <w:rsid w:val="00055286"/>
    <w:rsid w:val="00066C79"/>
    <w:rsid w:val="00087D14"/>
    <w:rsid w:val="001000DD"/>
    <w:rsid w:val="00137C22"/>
    <w:rsid w:val="001B3F96"/>
    <w:rsid w:val="001D7DAE"/>
    <w:rsid w:val="00271D51"/>
    <w:rsid w:val="00272F05"/>
    <w:rsid w:val="00274B3F"/>
    <w:rsid w:val="00275BBC"/>
    <w:rsid w:val="002959BD"/>
    <w:rsid w:val="002F0DDA"/>
    <w:rsid w:val="002F4637"/>
    <w:rsid w:val="00343342"/>
    <w:rsid w:val="00415EE4"/>
    <w:rsid w:val="004D3AB0"/>
    <w:rsid w:val="004E29DE"/>
    <w:rsid w:val="0056577D"/>
    <w:rsid w:val="00572870"/>
    <w:rsid w:val="005B4BC1"/>
    <w:rsid w:val="005C0AF8"/>
    <w:rsid w:val="005D7CE2"/>
    <w:rsid w:val="00627FAD"/>
    <w:rsid w:val="00642C81"/>
    <w:rsid w:val="006701AC"/>
    <w:rsid w:val="0067249E"/>
    <w:rsid w:val="00677D4F"/>
    <w:rsid w:val="00687AAF"/>
    <w:rsid w:val="00703CFC"/>
    <w:rsid w:val="007140AE"/>
    <w:rsid w:val="00722FD3"/>
    <w:rsid w:val="007438B3"/>
    <w:rsid w:val="00766A26"/>
    <w:rsid w:val="00785657"/>
    <w:rsid w:val="007A1229"/>
    <w:rsid w:val="007A6C4B"/>
    <w:rsid w:val="007C4084"/>
    <w:rsid w:val="00824B5E"/>
    <w:rsid w:val="008320CA"/>
    <w:rsid w:val="008546CC"/>
    <w:rsid w:val="0086004E"/>
    <w:rsid w:val="00892F60"/>
    <w:rsid w:val="008A5463"/>
    <w:rsid w:val="008C3849"/>
    <w:rsid w:val="008C5B87"/>
    <w:rsid w:val="009638B7"/>
    <w:rsid w:val="00966A11"/>
    <w:rsid w:val="009B1132"/>
    <w:rsid w:val="009B3C42"/>
    <w:rsid w:val="009C5FBF"/>
    <w:rsid w:val="00A013D8"/>
    <w:rsid w:val="00A52E4E"/>
    <w:rsid w:val="00A72992"/>
    <w:rsid w:val="00A90485"/>
    <w:rsid w:val="00A953B3"/>
    <w:rsid w:val="00AA00D4"/>
    <w:rsid w:val="00AC2825"/>
    <w:rsid w:val="00AE1F1B"/>
    <w:rsid w:val="00AE2082"/>
    <w:rsid w:val="00B11CF2"/>
    <w:rsid w:val="00B14866"/>
    <w:rsid w:val="00B4228F"/>
    <w:rsid w:val="00C03D01"/>
    <w:rsid w:val="00C366B2"/>
    <w:rsid w:val="00C579BE"/>
    <w:rsid w:val="00C71632"/>
    <w:rsid w:val="00CB48B8"/>
    <w:rsid w:val="00D1450E"/>
    <w:rsid w:val="00D3200A"/>
    <w:rsid w:val="00D34B46"/>
    <w:rsid w:val="00D3568F"/>
    <w:rsid w:val="00D4436C"/>
    <w:rsid w:val="00DD06B6"/>
    <w:rsid w:val="00E122D7"/>
    <w:rsid w:val="00E33188"/>
    <w:rsid w:val="00E46A56"/>
    <w:rsid w:val="00E73D87"/>
    <w:rsid w:val="00EB0754"/>
    <w:rsid w:val="00EB4FCE"/>
    <w:rsid w:val="00EF66DE"/>
    <w:rsid w:val="00F04178"/>
    <w:rsid w:val="00F15580"/>
    <w:rsid w:val="00F53C83"/>
    <w:rsid w:val="00F65DAE"/>
    <w:rsid w:val="00F81CC8"/>
    <w:rsid w:val="00F90F68"/>
    <w:rsid w:val="00FA658B"/>
    <w:rsid w:val="00FB6D09"/>
    <w:rsid w:val="00FC1EC0"/>
    <w:rsid w:val="00FC68AF"/>
    <w:rsid w:val="00FD19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AAF"/>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687AAF"/>
    <w:pPr>
      <w:spacing w:line="280" w:lineRule="exact"/>
      <w:jc w:val="right"/>
    </w:pPr>
    <w:rPr>
      <w:b/>
      <w:sz w:val="24"/>
    </w:rPr>
  </w:style>
  <w:style w:type="paragraph" w:customStyle="1" w:styleId="Affiliation">
    <w:name w:val="Affiliation"/>
    <w:basedOn w:val="Normal"/>
    <w:rsid w:val="00687AAF"/>
    <w:pPr>
      <w:spacing w:after="240" w:line="240" w:lineRule="exact"/>
      <w:jc w:val="right"/>
    </w:pPr>
  </w:style>
  <w:style w:type="paragraph" w:customStyle="1" w:styleId="Body">
    <w:name w:val="Body"/>
    <w:basedOn w:val="Normal"/>
    <w:rsid w:val="00687AAF"/>
    <w:pPr>
      <w:spacing w:after="240"/>
      <w:jc w:val="both"/>
    </w:pPr>
  </w:style>
  <w:style w:type="paragraph" w:customStyle="1" w:styleId="AbstHead">
    <w:name w:val="Abst Head"/>
    <w:basedOn w:val="Normal"/>
    <w:rsid w:val="00687AAF"/>
    <w:pPr>
      <w:keepNext/>
      <w:spacing w:after="240"/>
    </w:pPr>
    <w:rPr>
      <w:b/>
      <w:caps/>
      <w:sz w:val="22"/>
    </w:rPr>
  </w:style>
  <w:style w:type="paragraph" w:customStyle="1" w:styleId="ConcHead">
    <w:name w:val="Conc Head"/>
    <w:basedOn w:val="Normal"/>
    <w:rsid w:val="00687AAF"/>
    <w:pPr>
      <w:keepNext/>
      <w:spacing w:after="240"/>
    </w:pPr>
    <w:rPr>
      <w:b/>
      <w:caps/>
      <w:sz w:val="22"/>
    </w:rPr>
  </w:style>
  <w:style w:type="paragraph" w:customStyle="1" w:styleId="ReferHead">
    <w:name w:val="Refer Head"/>
    <w:basedOn w:val="Normal"/>
    <w:rsid w:val="00687AAF"/>
    <w:pPr>
      <w:keepNext/>
      <w:spacing w:after="240"/>
    </w:pPr>
    <w:rPr>
      <w:b/>
      <w:caps/>
      <w:sz w:val="22"/>
    </w:rPr>
  </w:style>
  <w:style w:type="paragraph" w:customStyle="1" w:styleId="DefAcrHead">
    <w:name w:val="DefAcrHead"/>
    <w:basedOn w:val="Normal"/>
    <w:rsid w:val="00687AAF"/>
    <w:pPr>
      <w:keepNext/>
      <w:spacing w:after="240"/>
    </w:pPr>
    <w:rPr>
      <w:b/>
      <w:caps/>
      <w:sz w:val="22"/>
    </w:rPr>
  </w:style>
  <w:style w:type="paragraph" w:customStyle="1" w:styleId="Copyright">
    <w:name w:val="Copyright"/>
    <w:basedOn w:val="Normal"/>
    <w:rsid w:val="00687AAF"/>
    <w:pPr>
      <w:spacing w:after="960" w:line="200" w:lineRule="exact"/>
    </w:pPr>
    <w:rPr>
      <w:sz w:val="16"/>
    </w:rPr>
  </w:style>
  <w:style w:type="paragraph" w:styleId="Title">
    <w:name w:val="Title"/>
    <w:basedOn w:val="Normal"/>
    <w:link w:val="TitleChar"/>
    <w:qFormat/>
    <w:rsid w:val="00687AAF"/>
    <w:pPr>
      <w:spacing w:after="360"/>
      <w:jc w:val="right"/>
    </w:pPr>
    <w:rPr>
      <w:b/>
      <w:kern w:val="28"/>
      <w:sz w:val="36"/>
    </w:rPr>
  </w:style>
  <w:style w:type="character" w:customStyle="1" w:styleId="TitleChar">
    <w:name w:val="Title Char"/>
    <w:basedOn w:val="DefaultParagraphFont"/>
    <w:link w:val="Title"/>
    <w:rsid w:val="00687AAF"/>
    <w:rPr>
      <w:rFonts w:ascii="Helvetica" w:eastAsia="Times New Roman" w:hAnsi="Helvetica" w:cs="Times New Roman"/>
      <w:b/>
      <w:kern w:val="28"/>
      <w:sz w:val="36"/>
      <w:szCs w:val="20"/>
      <w:lang w:val="en-US"/>
    </w:rPr>
  </w:style>
  <w:style w:type="paragraph" w:customStyle="1" w:styleId="Reference">
    <w:name w:val="Reference"/>
    <w:basedOn w:val="Body"/>
    <w:rsid w:val="00687AAF"/>
    <w:pPr>
      <w:numPr>
        <w:numId w:val="1"/>
      </w:numPr>
      <w:spacing w:after="0" w:line="240" w:lineRule="exact"/>
    </w:pPr>
  </w:style>
  <w:style w:type="paragraph" w:customStyle="1" w:styleId="Head1">
    <w:name w:val="Head1"/>
    <w:basedOn w:val="Normal"/>
    <w:rsid w:val="00687AAF"/>
    <w:pPr>
      <w:keepNext/>
      <w:spacing w:after="240"/>
    </w:pPr>
    <w:rPr>
      <w:b/>
      <w:caps/>
      <w:sz w:val="22"/>
    </w:rPr>
  </w:style>
  <w:style w:type="paragraph" w:customStyle="1" w:styleId="Appendix">
    <w:name w:val="Appendix"/>
    <w:basedOn w:val="Normal"/>
    <w:rsid w:val="00687AAF"/>
    <w:pPr>
      <w:keepNext/>
      <w:spacing w:after="240"/>
    </w:pPr>
    <w:rPr>
      <w:b/>
      <w:caps/>
      <w:sz w:val="22"/>
    </w:rPr>
  </w:style>
  <w:style w:type="paragraph" w:styleId="Footer">
    <w:name w:val="footer"/>
    <w:basedOn w:val="Normal"/>
    <w:link w:val="FooterChar"/>
    <w:rsid w:val="00687AAF"/>
    <w:pPr>
      <w:tabs>
        <w:tab w:val="center" w:pos="4320"/>
        <w:tab w:val="right" w:pos="8640"/>
      </w:tabs>
    </w:pPr>
  </w:style>
  <w:style w:type="character" w:customStyle="1" w:styleId="FooterChar">
    <w:name w:val="Footer Char"/>
    <w:basedOn w:val="DefaultParagraphFont"/>
    <w:link w:val="Footer"/>
    <w:rsid w:val="00687AAF"/>
    <w:rPr>
      <w:rFonts w:ascii="Helvetica" w:eastAsia="Times New Roman" w:hAnsi="Helvetica" w:cs="Times New Roman"/>
      <w:sz w:val="20"/>
      <w:szCs w:val="20"/>
      <w:lang w:val="en-US"/>
    </w:rPr>
  </w:style>
  <w:style w:type="paragraph" w:styleId="Header">
    <w:name w:val="header"/>
    <w:basedOn w:val="Normal"/>
    <w:link w:val="HeaderChar"/>
    <w:rsid w:val="00687AAF"/>
    <w:pPr>
      <w:tabs>
        <w:tab w:val="center" w:pos="4320"/>
        <w:tab w:val="right" w:pos="8640"/>
      </w:tabs>
    </w:pPr>
  </w:style>
  <w:style w:type="character" w:customStyle="1" w:styleId="HeaderChar">
    <w:name w:val="Header Char"/>
    <w:basedOn w:val="DefaultParagraphFont"/>
    <w:link w:val="Header"/>
    <w:rsid w:val="00687AAF"/>
    <w:rPr>
      <w:rFonts w:ascii="Helvetica" w:eastAsia="Times New Roman" w:hAnsi="Helvetica" w:cs="Times New Roman"/>
      <w:sz w:val="20"/>
      <w:szCs w:val="20"/>
      <w:lang w:val="en-US"/>
    </w:rPr>
  </w:style>
  <w:style w:type="character" w:styleId="Hyperlink">
    <w:name w:val="Hyperlink"/>
    <w:basedOn w:val="DefaultParagraphFont"/>
    <w:rsid w:val="00687AAF"/>
    <w:rPr>
      <w:color w:val="FF0080"/>
      <w:u w:val="single"/>
    </w:rPr>
  </w:style>
  <w:style w:type="table" w:styleId="TableGrid">
    <w:name w:val="Table Grid"/>
    <w:basedOn w:val="TableNormal"/>
    <w:uiPriority w:val="59"/>
    <w:rsid w:val="00687AA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rsid w:val="00687AAF"/>
    <w:pPr>
      <w:spacing w:after="120"/>
    </w:pPr>
    <w:rPr>
      <w:sz w:val="16"/>
      <w:szCs w:val="16"/>
    </w:rPr>
  </w:style>
  <w:style w:type="character" w:customStyle="1" w:styleId="BodyText3Char">
    <w:name w:val="Body Text 3 Char"/>
    <w:basedOn w:val="DefaultParagraphFont"/>
    <w:link w:val="BodyText3"/>
    <w:rsid w:val="00687AAF"/>
    <w:rPr>
      <w:rFonts w:ascii="Helvetica" w:eastAsia="Times New Roman" w:hAnsi="Helvetica" w:cs="Times New Roman"/>
      <w:sz w:val="16"/>
      <w:szCs w:val="16"/>
      <w:lang w:val="en-US"/>
    </w:rPr>
  </w:style>
  <w:style w:type="paragraph" w:customStyle="1" w:styleId="TableParagraph">
    <w:name w:val="Table Paragraph"/>
    <w:basedOn w:val="Normal"/>
    <w:uiPriority w:val="1"/>
    <w:qFormat/>
    <w:rsid w:val="00687AAF"/>
    <w:pPr>
      <w:widowControl w:val="0"/>
      <w:autoSpaceDE w:val="0"/>
      <w:autoSpaceDN w:val="0"/>
      <w:ind w:left="108"/>
    </w:pPr>
    <w:rPr>
      <w:rFonts w:ascii="Times New Roman" w:hAnsi="Times New Roman"/>
      <w:sz w:val="22"/>
      <w:szCs w:val="22"/>
    </w:rPr>
  </w:style>
  <w:style w:type="character" w:styleId="LineNumber">
    <w:name w:val="line number"/>
    <w:basedOn w:val="DefaultParagraphFont"/>
    <w:uiPriority w:val="99"/>
    <w:semiHidden/>
    <w:unhideWhenUsed/>
    <w:rsid w:val="00687AAF"/>
  </w:style>
  <w:style w:type="paragraph" w:styleId="BalloonText">
    <w:name w:val="Balloon Text"/>
    <w:basedOn w:val="Normal"/>
    <w:link w:val="BalloonTextChar"/>
    <w:uiPriority w:val="99"/>
    <w:semiHidden/>
    <w:unhideWhenUsed/>
    <w:rsid w:val="00687AAF"/>
    <w:rPr>
      <w:rFonts w:ascii="Tahoma" w:hAnsi="Tahoma" w:cs="Tahoma"/>
      <w:sz w:val="16"/>
      <w:szCs w:val="16"/>
    </w:rPr>
  </w:style>
  <w:style w:type="character" w:customStyle="1" w:styleId="BalloonTextChar">
    <w:name w:val="Balloon Text Char"/>
    <w:basedOn w:val="DefaultParagraphFont"/>
    <w:link w:val="BalloonText"/>
    <w:uiPriority w:val="99"/>
    <w:semiHidden/>
    <w:rsid w:val="00687AAF"/>
    <w:rPr>
      <w:rFonts w:ascii="Tahoma" w:eastAsia="Times New Roman" w:hAnsi="Tahoma" w:cs="Tahoma"/>
      <w:sz w:val="16"/>
      <w:szCs w:val="16"/>
      <w:lang w:val="en-US"/>
    </w:rPr>
  </w:style>
  <w:style w:type="character" w:styleId="Emphasis">
    <w:name w:val="Emphasis"/>
    <w:basedOn w:val="DefaultParagraphFont"/>
    <w:uiPriority w:val="20"/>
    <w:qFormat/>
    <w:rsid w:val="00E46A56"/>
    <w:rPr>
      <w:i/>
      <w:iCs/>
    </w:rPr>
  </w:style>
  <w:style w:type="paragraph" w:styleId="NormalWeb">
    <w:name w:val="Normal (Web)"/>
    <w:basedOn w:val="Normal"/>
    <w:uiPriority w:val="99"/>
    <w:semiHidden/>
    <w:unhideWhenUsed/>
    <w:rsid w:val="00E46A56"/>
    <w:pPr>
      <w:spacing w:before="100" w:beforeAutospacing="1" w:after="100" w:afterAutospacing="1"/>
    </w:pPr>
    <w:rPr>
      <w:rFonts w:ascii="Times New Roman" w:hAnsi="Times New Roman"/>
      <w:sz w:val="24"/>
      <w:szCs w:val="24"/>
      <w:lang w:val="en-GB" w:eastAsia="en-GB"/>
    </w:rPr>
  </w:style>
  <w:style w:type="paragraph" w:styleId="ListParagraph">
    <w:name w:val="List Paragraph"/>
    <w:basedOn w:val="Normal"/>
    <w:uiPriority w:val="34"/>
    <w:qFormat/>
    <w:rsid w:val="00E46A56"/>
    <w:pPr>
      <w:spacing w:after="200" w:line="276" w:lineRule="auto"/>
      <w:ind w:left="720"/>
      <w:contextualSpacing/>
    </w:pPr>
    <w:rPr>
      <w:rFonts w:asciiTheme="minorHAnsi" w:eastAsiaTheme="minorHAnsi" w:hAnsiTheme="minorHAnsi" w:cstheme="minorBidi"/>
      <w:sz w:val="22"/>
      <w:szCs w:val="22"/>
      <w:lang w:val="en-GB"/>
    </w:rPr>
  </w:style>
  <w:style w:type="character" w:styleId="Strong">
    <w:name w:val="Strong"/>
    <w:basedOn w:val="DefaultParagraphFont"/>
    <w:uiPriority w:val="22"/>
    <w:qFormat/>
    <w:rsid w:val="00722FD3"/>
    <w:rPr>
      <w:b/>
      <w:bCs/>
    </w:rPr>
  </w:style>
</w:styles>
</file>

<file path=word/webSettings.xml><?xml version="1.0" encoding="utf-8"?>
<w:webSettings xmlns:r="http://schemas.openxmlformats.org/officeDocument/2006/relationships" xmlns:w="http://schemas.openxmlformats.org/wordprocessingml/2006/main">
  <w:divs>
    <w:div w:id="588317107">
      <w:bodyDiv w:val="1"/>
      <w:marLeft w:val="0"/>
      <w:marRight w:val="0"/>
      <w:marTop w:val="0"/>
      <w:marBottom w:val="0"/>
      <w:divBdr>
        <w:top w:val="none" w:sz="0" w:space="0" w:color="auto"/>
        <w:left w:val="none" w:sz="0" w:space="0" w:color="auto"/>
        <w:bottom w:val="none" w:sz="0" w:space="0" w:color="auto"/>
        <w:right w:val="none" w:sz="0" w:space="0" w:color="auto"/>
      </w:divBdr>
    </w:div>
    <w:div w:id="734671080">
      <w:bodyDiv w:val="1"/>
      <w:marLeft w:val="0"/>
      <w:marRight w:val="0"/>
      <w:marTop w:val="0"/>
      <w:marBottom w:val="0"/>
      <w:divBdr>
        <w:top w:val="none" w:sz="0" w:space="0" w:color="auto"/>
        <w:left w:val="none" w:sz="0" w:space="0" w:color="auto"/>
        <w:bottom w:val="none" w:sz="0" w:space="0" w:color="auto"/>
        <w:right w:val="none" w:sz="0" w:space="0" w:color="auto"/>
      </w:divBdr>
    </w:div>
    <w:div w:id="741828029">
      <w:bodyDiv w:val="1"/>
      <w:marLeft w:val="0"/>
      <w:marRight w:val="0"/>
      <w:marTop w:val="0"/>
      <w:marBottom w:val="0"/>
      <w:divBdr>
        <w:top w:val="none" w:sz="0" w:space="0" w:color="auto"/>
        <w:left w:val="none" w:sz="0" w:space="0" w:color="auto"/>
        <w:bottom w:val="none" w:sz="0" w:space="0" w:color="auto"/>
        <w:right w:val="none" w:sz="0" w:space="0" w:color="auto"/>
      </w:divBdr>
    </w:div>
    <w:div w:id="979723218">
      <w:bodyDiv w:val="1"/>
      <w:marLeft w:val="0"/>
      <w:marRight w:val="0"/>
      <w:marTop w:val="0"/>
      <w:marBottom w:val="0"/>
      <w:divBdr>
        <w:top w:val="none" w:sz="0" w:space="0" w:color="auto"/>
        <w:left w:val="none" w:sz="0" w:space="0" w:color="auto"/>
        <w:bottom w:val="none" w:sz="0" w:space="0" w:color="auto"/>
        <w:right w:val="none" w:sz="0" w:space="0" w:color="auto"/>
      </w:divBdr>
    </w:div>
    <w:div w:id="1848058733">
      <w:bodyDiv w:val="1"/>
      <w:marLeft w:val="0"/>
      <w:marRight w:val="0"/>
      <w:marTop w:val="0"/>
      <w:marBottom w:val="0"/>
      <w:divBdr>
        <w:top w:val="none" w:sz="0" w:space="0" w:color="auto"/>
        <w:left w:val="none" w:sz="0" w:space="0" w:color="auto"/>
        <w:bottom w:val="none" w:sz="0" w:space="0" w:color="auto"/>
        <w:right w:val="none" w:sz="0" w:space="0" w:color="auto"/>
      </w:divBdr>
      <w:divsChild>
        <w:div w:id="1795634086">
          <w:marLeft w:val="0"/>
          <w:marRight w:val="0"/>
          <w:marTop w:val="0"/>
          <w:marBottom w:val="0"/>
          <w:divBdr>
            <w:top w:val="none" w:sz="0" w:space="0" w:color="auto"/>
            <w:left w:val="none" w:sz="0" w:space="0" w:color="auto"/>
            <w:bottom w:val="none" w:sz="0" w:space="0" w:color="auto"/>
            <w:right w:val="none" w:sz="0" w:space="0" w:color="auto"/>
          </w:divBdr>
        </w:div>
      </w:divsChild>
    </w:div>
    <w:div w:id="19022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2902</TotalTime>
  <Pages>16</Pages>
  <Words>5765</Words>
  <Characters>32864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imedimfon1</dc:creator>
  <cp:lastModifiedBy>imedimfon1</cp:lastModifiedBy>
  <cp:revision>17</cp:revision>
  <dcterms:created xsi:type="dcterms:W3CDTF">2025-02-07T18:04:00Z</dcterms:created>
  <dcterms:modified xsi:type="dcterms:W3CDTF">2025-02-10T12:54:00Z</dcterms:modified>
</cp:coreProperties>
</file>