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86D" w:rsidRPr="005B258F" w:rsidRDefault="0065586D" w:rsidP="0065586D">
      <w:pPr>
        <w:spacing w:line="480" w:lineRule="auto"/>
        <w:jc w:val="center"/>
        <w:rPr>
          <w:rFonts w:ascii="Arial" w:hAnsi="Arial" w:cs="Arial"/>
          <w:sz w:val="20"/>
          <w:szCs w:val="20"/>
        </w:rPr>
      </w:pPr>
      <w:r w:rsidRPr="006314DA">
        <w:rPr>
          <w:rFonts w:ascii="Arial" w:hAnsi="Arial" w:cs="Arial"/>
          <w:b/>
          <w:sz w:val="20"/>
          <w:szCs w:val="20"/>
          <w:highlight w:val="yellow"/>
        </w:rPr>
        <w:t>Anti-ammonia Amendment I</w:t>
      </w:r>
      <w:r>
        <w:rPr>
          <w:rFonts w:ascii="Arial" w:hAnsi="Arial" w:cs="Arial"/>
          <w:b/>
          <w:sz w:val="20"/>
          <w:szCs w:val="20"/>
          <w:highlight w:val="yellow"/>
        </w:rPr>
        <w:t xml:space="preserve">nfusion </w:t>
      </w:r>
      <w:r w:rsidRPr="006314DA">
        <w:rPr>
          <w:rFonts w:ascii="Arial" w:hAnsi="Arial" w:cs="Arial"/>
          <w:b/>
          <w:sz w:val="20"/>
          <w:szCs w:val="20"/>
          <w:highlight w:val="yellow"/>
        </w:rPr>
        <w:t>in Fresh Chicken Dung Benefits Coriander (</w:t>
      </w:r>
      <w:r w:rsidRPr="006314DA">
        <w:rPr>
          <w:rFonts w:ascii="Arial" w:hAnsi="Arial" w:cs="Arial"/>
          <w:b/>
          <w:i/>
          <w:sz w:val="20"/>
          <w:szCs w:val="20"/>
          <w:highlight w:val="yellow"/>
        </w:rPr>
        <w:t>Coriandrum sativum</w:t>
      </w:r>
      <w:r w:rsidRPr="006314DA">
        <w:rPr>
          <w:rFonts w:ascii="Arial" w:hAnsi="Arial" w:cs="Arial"/>
          <w:b/>
          <w:sz w:val="20"/>
          <w:szCs w:val="20"/>
          <w:highlight w:val="yellow"/>
        </w:rPr>
        <w:t>) Production</w:t>
      </w:r>
    </w:p>
    <w:p w:rsidR="0065586D" w:rsidRPr="005B258F" w:rsidRDefault="0065586D" w:rsidP="0065586D">
      <w:pPr>
        <w:spacing w:line="480" w:lineRule="auto"/>
        <w:rPr>
          <w:rFonts w:ascii="Arial" w:hAnsi="Arial" w:cs="Arial"/>
          <w:sz w:val="20"/>
          <w:szCs w:val="20"/>
        </w:rPr>
      </w:pPr>
    </w:p>
    <w:p w:rsidR="0065586D" w:rsidRPr="005B258F" w:rsidRDefault="0065586D" w:rsidP="0065586D">
      <w:pPr>
        <w:spacing w:line="480" w:lineRule="auto"/>
        <w:rPr>
          <w:rFonts w:ascii="Arial" w:hAnsi="Arial" w:cs="Arial"/>
          <w:sz w:val="20"/>
          <w:szCs w:val="20"/>
        </w:rPr>
      </w:pPr>
    </w:p>
    <w:p w:rsidR="0065586D" w:rsidRPr="005B258F" w:rsidRDefault="0065586D" w:rsidP="0065586D">
      <w:pPr>
        <w:spacing w:line="480" w:lineRule="auto"/>
        <w:jc w:val="center"/>
        <w:rPr>
          <w:rFonts w:ascii="Arial" w:hAnsi="Arial" w:cs="Arial"/>
          <w:sz w:val="20"/>
          <w:szCs w:val="20"/>
        </w:rPr>
      </w:pPr>
      <w:r w:rsidRPr="005B258F">
        <w:rPr>
          <w:rFonts w:ascii="Arial" w:hAnsi="Arial" w:cs="Arial"/>
          <w:b/>
          <w:sz w:val="20"/>
          <w:szCs w:val="20"/>
        </w:rPr>
        <w:t>ABSTRACT</w:t>
      </w:r>
    </w:p>
    <w:p w:rsidR="0065586D" w:rsidRPr="005B258F" w:rsidRDefault="0065586D" w:rsidP="0065586D">
      <w:pPr>
        <w:spacing w:line="480" w:lineRule="auto"/>
        <w:jc w:val="both"/>
        <w:rPr>
          <w:rFonts w:ascii="Arial" w:hAnsi="Arial" w:cs="Arial"/>
          <w:sz w:val="20"/>
          <w:szCs w:val="20"/>
        </w:rPr>
      </w:pPr>
      <w:r w:rsidRPr="005B258F">
        <w:rPr>
          <w:rFonts w:ascii="Arial" w:hAnsi="Arial" w:cs="Arial"/>
          <w:sz w:val="20"/>
          <w:szCs w:val="20"/>
        </w:rPr>
        <w:t>Ammonia from fresh chicken dung is detrimental to plant health. Thus, they are normally composted for more than a month prior to using it as fertilizer. A pot experiment was conducted to evaluate the effects of fresh chicken dung infused with various anti-ammonia amendments on the growth, biomass and phytochemical characteristics of Coriander (</w:t>
      </w:r>
      <w:r w:rsidRPr="005B258F">
        <w:rPr>
          <w:rFonts w:ascii="Arial" w:hAnsi="Arial" w:cs="Arial"/>
          <w:i/>
          <w:iCs/>
          <w:sz w:val="20"/>
          <w:szCs w:val="20"/>
        </w:rPr>
        <w:t>Coriandrum sativum</w:t>
      </w:r>
      <w:r w:rsidRPr="005B258F">
        <w:rPr>
          <w:rFonts w:ascii="Arial" w:hAnsi="Arial" w:cs="Arial"/>
          <w:sz w:val="20"/>
          <w:szCs w:val="20"/>
        </w:rPr>
        <w:t xml:space="preserve">). The study was laid out in Randomized Complete Block Design </w:t>
      </w:r>
      <w:r w:rsidRPr="00FE3D8C">
        <w:rPr>
          <w:rFonts w:ascii="Arial" w:hAnsi="Arial" w:cs="Arial"/>
          <w:sz w:val="20"/>
          <w:szCs w:val="20"/>
          <w:highlight w:val="yellow"/>
        </w:rPr>
        <w:t>(RCBD)</w:t>
      </w:r>
      <w:r>
        <w:rPr>
          <w:rFonts w:ascii="Arial" w:hAnsi="Arial" w:cs="Arial"/>
          <w:sz w:val="20"/>
          <w:szCs w:val="20"/>
        </w:rPr>
        <w:t xml:space="preserve"> </w:t>
      </w:r>
      <w:r w:rsidRPr="005B258F">
        <w:rPr>
          <w:rFonts w:ascii="Arial" w:hAnsi="Arial" w:cs="Arial"/>
          <w:sz w:val="20"/>
          <w:szCs w:val="20"/>
        </w:rPr>
        <w:t xml:space="preserve">with six treatments: fresh chicken dung alone (50 g/pot) and fresh chicken dung infused with wood ash (50 g/pot at 1:1 ratio), fresh chicken dung infused with lime (50 g/pot at 1:1 ratio), fresh chicken dung infused with biochar (50 g/pot at 1:1 ratio), fresh chicken dung infused with zeolite (50 g/pot at 1:1 ratio), and fresh chicken dung infused with aluminum sulfate (50 g/pot at 1:1 ratio). Lime-infused chicken dung produced the tallest plants (20.63±0.49 cm), had the most branches (8.10±0.057), and resulted to heaviest fresh (323.33±1.90 g/plant) and dry (23.67±2.18 g/plant) weight, as well as longest roots (11.67±0.23 cm). Moreover, phytochemical analysis revealed that aluminum sulfate infusion in fresh chicken dung produced the highest chlorophyll a </w:t>
      </w:r>
      <w:r>
        <w:rPr>
          <w:rFonts w:ascii="Arial" w:hAnsi="Arial" w:cs="Arial"/>
          <w:sz w:val="20"/>
          <w:szCs w:val="20"/>
          <w:highlight w:val="yellow"/>
        </w:rPr>
        <w:t>content</w:t>
      </w:r>
      <w:r>
        <w:rPr>
          <w:rFonts w:ascii="Arial" w:hAnsi="Arial" w:cs="Arial"/>
          <w:sz w:val="20"/>
          <w:szCs w:val="20"/>
        </w:rPr>
        <w:t xml:space="preserve"> </w:t>
      </w:r>
      <w:r w:rsidRPr="005B258F">
        <w:rPr>
          <w:rFonts w:ascii="Arial" w:hAnsi="Arial" w:cs="Arial"/>
          <w:sz w:val="20"/>
          <w:szCs w:val="20"/>
        </w:rPr>
        <w:t xml:space="preserve">(0.0055±0.0013 mg/g of tissue) and total chlorophyll (0.0105±0.0006 mg/g of tissue) content, as well as total soluble solids (4.23± 0.48 </w:t>
      </w:r>
      <w:proofErr w:type="spellStart"/>
      <w:r w:rsidRPr="005B258F">
        <w:rPr>
          <w:rFonts w:ascii="Arial" w:hAnsi="Arial" w:cs="Arial"/>
          <w:sz w:val="20"/>
          <w:szCs w:val="20"/>
          <w:vertAlign w:val="superscript"/>
        </w:rPr>
        <w:t>o</w:t>
      </w:r>
      <w:r w:rsidRPr="005B258F">
        <w:rPr>
          <w:rFonts w:ascii="Arial" w:hAnsi="Arial" w:cs="Arial"/>
          <w:sz w:val="20"/>
          <w:szCs w:val="20"/>
        </w:rPr>
        <w:t>Brix</w:t>
      </w:r>
      <w:proofErr w:type="spellEnd"/>
      <w:r w:rsidRPr="005B258F">
        <w:rPr>
          <w:rFonts w:ascii="Arial" w:hAnsi="Arial" w:cs="Arial"/>
          <w:sz w:val="20"/>
          <w:szCs w:val="20"/>
        </w:rPr>
        <w:t xml:space="preserve">). Nonetheless, infusion with wood ash resulted in the highest chlorophyll b content (0.0079± 0.0002 mg/g of tissue). Therefore, infusing lime to fresh chicken dung resulted to greatest growth and biomass, while aluminum sulfate and wood </w:t>
      </w:r>
      <w:proofErr w:type="spellStart"/>
      <w:r w:rsidRPr="005B258F">
        <w:rPr>
          <w:rFonts w:ascii="Arial" w:hAnsi="Arial" w:cs="Arial"/>
          <w:sz w:val="20"/>
          <w:szCs w:val="20"/>
        </w:rPr>
        <w:t>ash</w:t>
      </w:r>
      <w:proofErr w:type="spellEnd"/>
      <w:r w:rsidRPr="005B258F">
        <w:rPr>
          <w:rFonts w:ascii="Arial" w:hAnsi="Arial" w:cs="Arial"/>
          <w:sz w:val="20"/>
          <w:szCs w:val="20"/>
        </w:rPr>
        <w:t xml:space="preserve"> infusion resulted to better phytochemical characteristics of Coriander. </w:t>
      </w:r>
    </w:p>
    <w:p w:rsidR="0065586D" w:rsidRPr="005B258F" w:rsidRDefault="0065586D" w:rsidP="0065586D">
      <w:pPr>
        <w:spacing w:line="480" w:lineRule="auto"/>
        <w:rPr>
          <w:rFonts w:ascii="Arial" w:hAnsi="Arial" w:cs="Arial"/>
          <w:sz w:val="20"/>
          <w:szCs w:val="20"/>
        </w:rPr>
      </w:pPr>
      <w:r w:rsidRPr="005B258F">
        <w:rPr>
          <w:rFonts w:ascii="Arial" w:hAnsi="Arial" w:cs="Arial"/>
          <w:b/>
          <w:sz w:val="20"/>
          <w:szCs w:val="20"/>
        </w:rPr>
        <w:t>Keywords:</w:t>
      </w:r>
      <w:r w:rsidRPr="005B258F">
        <w:rPr>
          <w:rFonts w:ascii="Arial" w:hAnsi="Arial" w:cs="Arial"/>
          <w:sz w:val="20"/>
          <w:szCs w:val="20"/>
        </w:rPr>
        <w:t xml:space="preserve"> anti-ammonia amendments, fresh chicken dung, coriander (</w:t>
      </w:r>
      <w:r w:rsidRPr="005B258F">
        <w:rPr>
          <w:rFonts w:ascii="Arial" w:hAnsi="Arial" w:cs="Arial"/>
          <w:i/>
          <w:sz w:val="20"/>
          <w:szCs w:val="20"/>
        </w:rPr>
        <w:t>Coriandrum sativum</w:t>
      </w:r>
      <w:r w:rsidRPr="005B258F">
        <w:rPr>
          <w:rFonts w:ascii="Arial" w:hAnsi="Arial" w:cs="Arial"/>
          <w:sz w:val="20"/>
          <w:szCs w:val="20"/>
        </w:rPr>
        <w:t>), phytochemical characteristics, horticultural characteristics</w:t>
      </w:r>
    </w:p>
    <w:p w:rsidR="0065586D" w:rsidRDefault="0065586D" w:rsidP="0065586D">
      <w:pPr>
        <w:spacing w:line="480" w:lineRule="auto"/>
        <w:jc w:val="center"/>
        <w:rPr>
          <w:rFonts w:ascii="Arial" w:hAnsi="Arial" w:cs="Arial"/>
          <w:b/>
          <w:sz w:val="20"/>
          <w:szCs w:val="20"/>
        </w:rPr>
      </w:pPr>
    </w:p>
    <w:p w:rsidR="0065586D" w:rsidRDefault="0065586D" w:rsidP="0065586D">
      <w:pPr>
        <w:spacing w:line="480" w:lineRule="auto"/>
        <w:jc w:val="center"/>
        <w:rPr>
          <w:rFonts w:ascii="Arial" w:hAnsi="Arial" w:cs="Arial"/>
          <w:b/>
          <w:sz w:val="20"/>
          <w:szCs w:val="20"/>
        </w:rPr>
      </w:pPr>
    </w:p>
    <w:p w:rsidR="0065586D" w:rsidRPr="005B258F" w:rsidRDefault="0065586D" w:rsidP="0065586D">
      <w:pPr>
        <w:spacing w:line="480" w:lineRule="auto"/>
        <w:jc w:val="center"/>
        <w:rPr>
          <w:rFonts w:ascii="Arial" w:hAnsi="Arial" w:cs="Arial"/>
          <w:b/>
          <w:sz w:val="20"/>
          <w:szCs w:val="20"/>
        </w:rPr>
      </w:pPr>
      <w:r w:rsidRPr="005B258F">
        <w:rPr>
          <w:rFonts w:ascii="Arial" w:hAnsi="Arial" w:cs="Arial"/>
          <w:b/>
          <w:sz w:val="20"/>
          <w:szCs w:val="20"/>
        </w:rPr>
        <w:lastRenderedPageBreak/>
        <w:t>INTRODUCTION</w:t>
      </w:r>
    </w:p>
    <w:p w:rsidR="0065586D" w:rsidRPr="005B258F" w:rsidRDefault="0065586D" w:rsidP="0065586D">
      <w:pPr>
        <w:spacing w:after="0" w:line="480" w:lineRule="auto"/>
        <w:ind w:firstLine="720"/>
        <w:jc w:val="both"/>
        <w:rPr>
          <w:rFonts w:ascii="Arial" w:hAnsi="Arial" w:cs="Arial"/>
          <w:sz w:val="20"/>
          <w:szCs w:val="20"/>
          <w:highlight w:val="white"/>
        </w:rPr>
      </w:pPr>
      <w:r w:rsidRPr="005B258F">
        <w:rPr>
          <w:rFonts w:ascii="Arial" w:hAnsi="Arial" w:cs="Arial"/>
          <w:sz w:val="20"/>
          <w:szCs w:val="20"/>
          <w:highlight w:val="white"/>
        </w:rPr>
        <w:t>Coriander (</w:t>
      </w:r>
      <w:r w:rsidRPr="005B258F">
        <w:rPr>
          <w:rFonts w:ascii="Arial" w:hAnsi="Arial" w:cs="Arial"/>
          <w:i/>
          <w:iCs/>
          <w:sz w:val="20"/>
          <w:szCs w:val="20"/>
          <w:highlight w:val="white"/>
        </w:rPr>
        <w:t>Coriandrum sativum</w:t>
      </w:r>
      <w:r w:rsidRPr="005B258F">
        <w:rPr>
          <w:rFonts w:ascii="Arial" w:hAnsi="Arial" w:cs="Arial"/>
          <w:sz w:val="20"/>
          <w:szCs w:val="20"/>
          <w:highlight w:val="white"/>
        </w:rPr>
        <w:t>) is a vital herb and spice plant belonging to the parsley family (</w:t>
      </w:r>
      <w:proofErr w:type="spellStart"/>
      <w:r w:rsidRPr="003B0584">
        <w:rPr>
          <w:rFonts w:ascii="Arial" w:hAnsi="Arial" w:cs="Arial"/>
          <w:i/>
          <w:sz w:val="20"/>
          <w:szCs w:val="20"/>
          <w:highlight w:val="white"/>
        </w:rPr>
        <w:t>Apiaceae</w:t>
      </w:r>
      <w:proofErr w:type="spellEnd"/>
      <w:r w:rsidRPr="005B258F">
        <w:rPr>
          <w:rFonts w:ascii="Arial" w:hAnsi="Arial" w:cs="Arial"/>
          <w:sz w:val="20"/>
          <w:szCs w:val="20"/>
          <w:highlight w:val="white"/>
        </w:rPr>
        <w:t xml:space="preserve">). It's also commonly known as cilantro, Chinese parsley, or </w:t>
      </w:r>
      <w:proofErr w:type="spellStart"/>
      <w:r w:rsidRPr="005B258F">
        <w:rPr>
          <w:rFonts w:ascii="Arial" w:hAnsi="Arial" w:cs="Arial"/>
          <w:sz w:val="20"/>
          <w:szCs w:val="20"/>
          <w:highlight w:val="white"/>
        </w:rPr>
        <w:t>dahania</w:t>
      </w:r>
      <w:proofErr w:type="spellEnd"/>
      <w:r w:rsidRPr="005B258F">
        <w:rPr>
          <w:rFonts w:ascii="Arial" w:hAnsi="Arial" w:cs="Arial"/>
          <w:sz w:val="20"/>
          <w:szCs w:val="20"/>
          <w:highlight w:val="white"/>
        </w:rPr>
        <w:t xml:space="preserve">. It is native to Southern Europe, Northern Africa, and Southwestern Asia </w:t>
      </w:r>
      <w:r>
        <w:rPr>
          <w:rFonts w:ascii="Arial" w:hAnsi="Arial" w:cs="Arial"/>
          <w:sz w:val="20"/>
          <w:szCs w:val="20"/>
          <w:highlight w:val="white"/>
        </w:rPr>
        <w:t xml:space="preserve">[1]. </w:t>
      </w:r>
      <w:r w:rsidRPr="005B258F">
        <w:rPr>
          <w:rFonts w:ascii="Arial" w:hAnsi="Arial" w:cs="Arial"/>
          <w:sz w:val="20"/>
          <w:szCs w:val="20"/>
          <w:highlight w:val="white"/>
        </w:rPr>
        <w:t xml:space="preserve">It is an annual herb and a cool-season crop. It can be grown on different kinds of soil and prefers light, well-drained, moist, loamy soil. It can also grow on heavy black soil </w:t>
      </w:r>
      <w:r>
        <w:rPr>
          <w:rFonts w:ascii="Arial" w:hAnsi="Arial" w:cs="Arial"/>
          <w:sz w:val="20"/>
          <w:szCs w:val="20"/>
          <w:highlight w:val="white"/>
        </w:rPr>
        <w:t>[2]</w:t>
      </w:r>
      <w:r w:rsidRPr="005B258F">
        <w:rPr>
          <w:rFonts w:ascii="Arial" w:hAnsi="Arial" w:cs="Arial"/>
          <w:sz w:val="20"/>
          <w:szCs w:val="20"/>
          <w:highlight w:val="white"/>
        </w:rPr>
        <w:t xml:space="preserve">. Coriander leaves are used as a parsley-like garnish with a fresh fragrance, that is vital in soups and meat dishes because these are rich in vitamins A, B2 (riboﬂavin), C, and dietary ﬁber. Salads are incredibly beneﬁcial for weight-conscious persons due to their lofty vitamins and ﬁber contents </w:t>
      </w:r>
      <w:r>
        <w:rPr>
          <w:rFonts w:ascii="Arial" w:hAnsi="Arial" w:cs="Arial"/>
          <w:sz w:val="20"/>
          <w:szCs w:val="20"/>
          <w:highlight w:val="white"/>
        </w:rPr>
        <w:t>[3]</w:t>
      </w:r>
      <w:r w:rsidRPr="005B258F">
        <w:rPr>
          <w:rFonts w:ascii="Arial" w:hAnsi="Arial" w:cs="Arial"/>
          <w:sz w:val="20"/>
          <w:szCs w:val="20"/>
          <w:highlight w:val="white"/>
        </w:rPr>
        <w:t>.</w:t>
      </w:r>
    </w:p>
    <w:p w:rsidR="0065586D" w:rsidRPr="005B258F" w:rsidRDefault="0065586D" w:rsidP="0065586D">
      <w:pPr>
        <w:spacing w:line="480" w:lineRule="auto"/>
        <w:ind w:firstLine="720"/>
        <w:jc w:val="both"/>
        <w:rPr>
          <w:rFonts w:ascii="Arial" w:hAnsi="Arial" w:cs="Arial"/>
          <w:sz w:val="20"/>
          <w:szCs w:val="20"/>
        </w:rPr>
      </w:pPr>
      <w:r w:rsidRPr="005B258F">
        <w:rPr>
          <w:rFonts w:ascii="Arial" w:hAnsi="Arial" w:cs="Arial"/>
          <w:sz w:val="20"/>
          <w:szCs w:val="20"/>
        </w:rPr>
        <w:t xml:space="preserve">Direct application of chicken dung into agricultural soil may cause environmental problems such as foul odor and it may become a breeding ground for pests such as flies. Due to </w:t>
      </w:r>
      <w:r w:rsidRPr="00AA6F5C">
        <w:rPr>
          <w:rFonts w:ascii="Arial" w:hAnsi="Arial" w:cs="Arial"/>
          <w:sz w:val="20"/>
          <w:szCs w:val="20"/>
          <w:highlight w:val="yellow"/>
        </w:rPr>
        <w:t>its</w:t>
      </w:r>
      <w:r>
        <w:rPr>
          <w:rFonts w:ascii="Arial" w:hAnsi="Arial" w:cs="Arial"/>
          <w:sz w:val="20"/>
          <w:szCs w:val="20"/>
        </w:rPr>
        <w:t xml:space="preserve"> </w:t>
      </w:r>
      <w:r w:rsidRPr="005B258F">
        <w:rPr>
          <w:rFonts w:ascii="Arial" w:hAnsi="Arial" w:cs="Arial"/>
          <w:sz w:val="20"/>
          <w:szCs w:val="20"/>
        </w:rPr>
        <w:t xml:space="preserve">high </w:t>
      </w:r>
      <w:r w:rsidRPr="00AA6F5C">
        <w:rPr>
          <w:rFonts w:ascii="Arial" w:hAnsi="Arial" w:cs="Arial"/>
          <w:strike/>
          <w:sz w:val="20"/>
          <w:szCs w:val="20"/>
          <w:highlight w:val="red"/>
        </w:rPr>
        <w:t>its</w:t>
      </w:r>
      <w:r w:rsidRPr="005B258F">
        <w:rPr>
          <w:rFonts w:ascii="Arial" w:hAnsi="Arial" w:cs="Arial"/>
          <w:sz w:val="20"/>
          <w:szCs w:val="20"/>
        </w:rPr>
        <w:t xml:space="preserve"> ammonia content, fresh chicken dung is hot and will damage or kill the plants. Ammonia, the most common odor substance, can reach as high as 4100 ppm in the compost area</w:t>
      </w:r>
      <w:r>
        <w:rPr>
          <w:rFonts w:ascii="Arial" w:hAnsi="Arial" w:cs="Arial"/>
          <w:sz w:val="20"/>
          <w:szCs w:val="20"/>
        </w:rPr>
        <w:t xml:space="preserve"> [4]</w:t>
      </w:r>
      <w:r w:rsidRPr="005B258F">
        <w:rPr>
          <w:rFonts w:ascii="Arial" w:hAnsi="Arial" w:cs="Arial"/>
          <w:sz w:val="20"/>
          <w:szCs w:val="20"/>
        </w:rPr>
        <w:t xml:space="preserve">. Thus, this is mitigated through the composting process. However, the biological transformation of chicken dung via composting technique has its disadvantages because the process may take months to complete </w:t>
      </w:r>
      <w:r>
        <w:rPr>
          <w:rFonts w:ascii="Arial" w:hAnsi="Arial" w:cs="Arial"/>
          <w:sz w:val="20"/>
          <w:szCs w:val="20"/>
        </w:rPr>
        <w:t>[5].</w:t>
      </w:r>
    </w:p>
    <w:p w:rsidR="0065586D" w:rsidRPr="00412E05" w:rsidRDefault="0065586D" w:rsidP="0065586D">
      <w:pPr>
        <w:spacing w:line="480" w:lineRule="auto"/>
        <w:ind w:firstLine="720"/>
        <w:jc w:val="both"/>
        <w:rPr>
          <w:rFonts w:ascii="Arial" w:hAnsi="Arial" w:cs="Arial"/>
          <w:sz w:val="20"/>
          <w:szCs w:val="20"/>
        </w:rPr>
      </w:pPr>
      <w:r w:rsidRPr="005B258F">
        <w:rPr>
          <w:rFonts w:ascii="Arial" w:hAnsi="Arial" w:cs="Arial"/>
          <w:sz w:val="20"/>
          <w:szCs w:val="20"/>
        </w:rPr>
        <w:t>Adding anti-ammonia to fresh chicken dung is necessary to reduce ammonia odor and the acidity of fresh chicken dung.  </w:t>
      </w:r>
      <w:proofErr w:type="spellStart"/>
      <w:r w:rsidRPr="005B258F">
        <w:rPr>
          <w:rFonts w:ascii="Arial" w:hAnsi="Arial" w:cs="Arial"/>
          <w:sz w:val="20"/>
          <w:szCs w:val="20"/>
        </w:rPr>
        <w:t>Alesna</w:t>
      </w:r>
      <w:proofErr w:type="spellEnd"/>
      <w:r w:rsidRPr="005B258F">
        <w:rPr>
          <w:rFonts w:ascii="Arial" w:hAnsi="Arial" w:cs="Arial"/>
          <w:sz w:val="20"/>
          <w:szCs w:val="20"/>
        </w:rPr>
        <w:t xml:space="preserve"> </w:t>
      </w:r>
      <w:r w:rsidRPr="00E41237">
        <w:rPr>
          <w:rFonts w:ascii="Arial" w:hAnsi="Arial" w:cs="Arial"/>
          <w:i/>
          <w:sz w:val="20"/>
          <w:szCs w:val="20"/>
        </w:rPr>
        <w:t>et al</w:t>
      </w:r>
      <w:r w:rsidRPr="005B258F">
        <w:rPr>
          <w:rFonts w:ascii="Arial" w:hAnsi="Arial" w:cs="Arial"/>
          <w:sz w:val="20"/>
          <w:szCs w:val="20"/>
        </w:rPr>
        <w:t>.</w:t>
      </w:r>
      <w:r>
        <w:rPr>
          <w:rFonts w:ascii="Arial" w:hAnsi="Arial" w:cs="Arial"/>
          <w:sz w:val="20"/>
          <w:szCs w:val="20"/>
        </w:rPr>
        <w:t xml:space="preserve"> [6]</w:t>
      </w:r>
      <w:r w:rsidRPr="005B258F">
        <w:rPr>
          <w:rFonts w:ascii="Arial" w:hAnsi="Arial" w:cs="Arial"/>
          <w:sz w:val="20"/>
          <w:szCs w:val="20"/>
        </w:rPr>
        <w:t xml:space="preserve"> reported that liming and chicken manure application significantly improved soil pH and decreased exchangeable Al and acidity of soil, which facilitates the availability of nutrients. Also, studies have shown that zeolite, when added to fresh chicken dung can significantly promote the formation of soil aggregates, increase the total soil porosity, loosen the soil and improve soil permeability</w:t>
      </w:r>
      <w:r>
        <w:rPr>
          <w:rFonts w:ascii="Arial" w:hAnsi="Arial" w:cs="Arial"/>
          <w:sz w:val="20"/>
          <w:szCs w:val="20"/>
        </w:rPr>
        <w:t xml:space="preserve"> [7-9]</w:t>
      </w:r>
      <w:r w:rsidRPr="005B258F">
        <w:rPr>
          <w:rFonts w:ascii="Arial" w:hAnsi="Arial" w:cs="Arial"/>
          <w:sz w:val="20"/>
          <w:szCs w:val="20"/>
        </w:rPr>
        <w:t>, which plays an important role in improving soil nutrients and supplying plant growth</w:t>
      </w:r>
      <w:r>
        <w:rPr>
          <w:rFonts w:ascii="Arial" w:hAnsi="Arial" w:cs="Arial"/>
          <w:sz w:val="20"/>
          <w:szCs w:val="20"/>
        </w:rPr>
        <w:t xml:space="preserve"> [10-12]</w:t>
      </w:r>
      <w:r w:rsidRPr="005B258F">
        <w:rPr>
          <w:rFonts w:ascii="Arial" w:hAnsi="Arial" w:cs="Arial"/>
          <w:sz w:val="20"/>
          <w:szCs w:val="20"/>
        </w:rPr>
        <w:t xml:space="preserve">.  A study by </w:t>
      </w:r>
      <w:proofErr w:type="spellStart"/>
      <w:r w:rsidRPr="005B258F">
        <w:rPr>
          <w:rFonts w:ascii="Arial" w:hAnsi="Arial" w:cs="Arial"/>
          <w:sz w:val="20"/>
          <w:szCs w:val="20"/>
        </w:rPr>
        <w:t>Agbede</w:t>
      </w:r>
      <w:proofErr w:type="spellEnd"/>
      <w:r w:rsidRPr="005B258F">
        <w:rPr>
          <w:rFonts w:ascii="Arial" w:hAnsi="Arial" w:cs="Arial"/>
          <w:sz w:val="20"/>
          <w:szCs w:val="20"/>
        </w:rPr>
        <w:t xml:space="preserve"> </w:t>
      </w:r>
      <w:r w:rsidRPr="00E41237">
        <w:rPr>
          <w:rFonts w:ascii="Arial" w:hAnsi="Arial" w:cs="Arial"/>
          <w:i/>
          <w:sz w:val="20"/>
          <w:szCs w:val="20"/>
        </w:rPr>
        <w:t>et al</w:t>
      </w:r>
      <w:r w:rsidRPr="005B258F">
        <w:rPr>
          <w:rFonts w:ascii="Arial" w:hAnsi="Arial" w:cs="Arial"/>
          <w:sz w:val="20"/>
          <w:szCs w:val="20"/>
        </w:rPr>
        <w:t>.</w:t>
      </w:r>
      <w:r>
        <w:rPr>
          <w:rFonts w:ascii="Arial" w:hAnsi="Arial" w:cs="Arial"/>
          <w:sz w:val="20"/>
          <w:szCs w:val="20"/>
        </w:rPr>
        <w:t xml:space="preserve"> [13]</w:t>
      </w:r>
      <w:r w:rsidRPr="005B258F">
        <w:rPr>
          <w:rFonts w:ascii="Arial" w:hAnsi="Arial" w:cs="Arial"/>
          <w:sz w:val="20"/>
          <w:szCs w:val="20"/>
        </w:rPr>
        <w:t xml:space="preserve"> reported that combined applications of wood ash and chicken manure mostly improved soil fertility and increased the availability of nutrients which aided faster decomposition and release of nutrients of chicken dung. Moreover, aluminum sulfate is a unique chemical for chicken dung amendment as it not only reduces NH3 volatilization but also reduces P solubility and N loss</w:t>
      </w:r>
      <w:r>
        <w:rPr>
          <w:rFonts w:ascii="Arial" w:hAnsi="Arial" w:cs="Arial"/>
          <w:sz w:val="20"/>
          <w:szCs w:val="20"/>
        </w:rPr>
        <w:t xml:space="preserve"> [14]</w:t>
      </w:r>
      <w:r w:rsidRPr="005B258F">
        <w:rPr>
          <w:rFonts w:ascii="Arial" w:hAnsi="Arial" w:cs="Arial"/>
          <w:sz w:val="20"/>
          <w:szCs w:val="20"/>
        </w:rPr>
        <w:t xml:space="preserve">.  Findings of </w:t>
      </w:r>
      <w:proofErr w:type="spellStart"/>
      <w:r w:rsidRPr="005B258F">
        <w:rPr>
          <w:rFonts w:ascii="Arial" w:hAnsi="Arial" w:cs="Arial"/>
          <w:sz w:val="20"/>
          <w:szCs w:val="20"/>
        </w:rPr>
        <w:t>Qasim</w:t>
      </w:r>
      <w:proofErr w:type="spellEnd"/>
      <w:r w:rsidRPr="005B258F">
        <w:rPr>
          <w:rFonts w:ascii="Arial" w:hAnsi="Arial" w:cs="Arial"/>
          <w:sz w:val="20"/>
          <w:szCs w:val="20"/>
        </w:rPr>
        <w:t xml:space="preserve"> </w:t>
      </w:r>
      <w:r w:rsidRPr="00412E05">
        <w:rPr>
          <w:rFonts w:ascii="Arial" w:hAnsi="Arial" w:cs="Arial"/>
          <w:i/>
          <w:sz w:val="20"/>
          <w:szCs w:val="20"/>
        </w:rPr>
        <w:t>et al</w:t>
      </w:r>
      <w:r w:rsidRPr="005B258F">
        <w:rPr>
          <w:rFonts w:ascii="Arial" w:hAnsi="Arial" w:cs="Arial"/>
          <w:sz w:val="20"/>
          <w:szCs w:val="20"/>
        </w:rPr>
        <w:t>.</w:t>
      </w:r>
      <w:r>
        <w:rPr>
          <w:rFonts w:ascii="Arial" w:hAnsi="Arial" w:cs="Arial"/>
          <w:sz w:val="20"/>
          <w:szCs w:val="20"/>
        </w:rPr>
        <w:t xml:space="preserve"> [15]</w:t>
      </w:r>
      <w:r w:rsidRPr="005B258F">
        <w:rPr>
          <w:rFonts w:ascii="Arial" w:hAnsi="Arial" w:cs="Arial"/>
          <w:sz w:val="20"/>
          <w:szCs w:val="20"/>
        </w:rPr>
        <w:t xml:space="preserve"> reported that a combination of aluminum sulfate may be a useful amendment for reducing NH3 and CO</w:t>
      </w:r>
      <w:r w:rsidRPr="005B258F">
        <w:rPr>
          <w:rFonts w:ascii="Cambria Math" w:hAnsi="Cambria Math" w:cs="Cambria Math"/>
          <w:sz w:val="20"/>
          <w:szCs w:val="20"/>
        </w:rPr>
        <w:t>₂</w:t>
      </w:r>
      <w:r w:rsidRPr="005B258F">
        <w:rPr>
          <w:rFonts w:ascii="Arial" w:hAnsi="Arial" w:cs="Arial"/>
          <w:sz w:val="20"/>
          <w:szCs w:val="20"/>
        </w:rPr>
        <w:t xml:space="preserve"> volatilizations, pH, and moisture content of chicken dung, which </w:t>
      </w:r>
      <w:r w:rsidRPr="005B258F">
        <w:rPr>
          <w:rFonts w:ascii="Arial" w:hAnsi="Arial" w:cs="Arial"/>
          <w:sz w:val="20"/>
          <w:szCs w:val="20"/>
        </w:rPr>
        <w:lastRenderedPageBreak/>
        <w:t>will help in improving poultry productivity, pollution control, and chicken dung fertilizer usage. Overall, these studies indicated the possibility of anti-ammonia amendments to improve composting efficiency and reduce the detrimental effects of excess ammoni</w:t>
      </w:r>
      <w:r>
        <w:rPr>
          <w:rFonts w:ascii="Arial" w:hAnsi="Arial" w:cs="Arial"/>
          <w:sz w:val="20"/>
          <w:szCs w:val="20"/>
        </w:rPr>
        <w:t>a from chicken dung to plants. </w:t>
      </w:r>
      <w:r w:rsidRPr="005B258F">
        <w:rPr>
          <w:rFonts w:ascii="Arial" w:hAnsi="Arial" w:cs="Arial"/>
          <w:sz w:val="20"/>
          <w:szCs w:val="20"/>
        </w:rPr>
        <w:t>Therefore, this study aims to evaluate the effects of fresh chicken dung infused with anti-ammonia amendments on the soil fertility and plant characteristics of Coriander.</w:t>
      </w:r>
    </w:p>
    <w:p w:rsidR="0065586D" w:rsidRDefault="0065586D" w:rsidP="0065586D">
      <w:pPr>
        <w:spacing w:line="480" w:lineRule="auto"/>
        <w:jc w:val="center"/>
        <w:rPr>
          <w:rFonts w:ascii="Arial" w:hAnsi="Arial" w:cs="Arial"/>
          <w:sz w:val="20"/>
          <w:szCs w:val="20"/>
        </w:rPr>
      </w:pPr>
      <w:r w:rsidRPr="005B258F">
        <w:rPr>
          <w:rFonts w:ascii="Arial" w:hAnsi="Arial" w:cs="Arial"/>
          <w:b/>
          <w:sz w:val="20"/>
          <w:szCs w:val="20"/>
        </w:rPr>
        <w:t>MATERIALS AND METHODS</w:t>
      </w:r>
    </w:p>
    <w:p w:rsidR="0065586D" w:rsidRPr="005B258F" w:rsidRDefault="0065586D" w:rsidP="0065586D">
      <w:pPr>
        <w:spacing w:line="480" w:lineRule="auto"/>
        <w:rPr>
          <w:rFonts w:ascii="Arial" w:hAnsi="Arial" w:cs="Arial"/>
          <w:sz w:val="20"/>
          <w:szCs w:val="20"/>
        </w:rPr>
      </w:pPr>
      <w:r w:rsidRPr="005B258F">
        <w:rPr>
          <w:rFonts w:ascii="Arial" w:hAnsi="Arial" w:cs="Arial"/>
          <w:b/>
          <w:sz w:val="20"/>
          <w:szCs w:val="20"/>
        </w:rPr>
        <w:t>Experimental Site</w:t>
      </w:r>
    </w:p>
    <w:p w:rsidR="0065586D" w:rsidRPr="005B258F" w:rsidRDefault="0065586D" w:rsidP="0065586D">
      <w:pPr>
        <w:spacing w:line="480" w:lineRule="auto"/>
        <w:ind w:firstLine="720"/>
        <w:jc w:val="both"/>
        <w:rPr>
          <w:rFonts w:ascii="Arial" w:hAnsi="Arial" w:cs="Arial"/>
          <w:sz w:val="20"/>
          <w:szCs w:val="20"/>
        </w:rPr>
      </w:pPr>
      <w:r w:rsidRPr="005B258F">
        <w:rPr>
          <w:rFonts w:ascii="Arial" w:hAnsi="Arial" w:cs="Arial"/>
          <w:sz w:val="20"/>
          <w:szCs w:val="20"/>
        </w:rPr>
        <w:t xml:space="preserve">A pot experiment was conducted in the screenhouse of Cebu Technological University – </w:t>
      </w:r>
      <w:proofErr w:type="spellStart"/>
      <w:r w:rsidRPr="005B258F">
        <w:rPr>
          <w:rFonts w:ascii="Arial" w:hAnsi="Arial" w:cs="Arial"/>
          <w:sz w:val="20"/>
          <w:szCs w:val="20"/>
        </w:rPr>
        <w:t>Barili</w:t>
      </w:r>
      <w:proofErr w:type="spellEnd"/>
      <w:r w:rsidRPr="005B258F">
        <w:rPr>
          <w:rFonts w:ascii="Arial" w:hAnsi="Arial" w:cs="Arial"/>
          <w:sz w:val="20"/>
          <w:szCs w:val="20"/>
        </w:rPr>
        <w:t xml:space="preserve"> Campus, </w:t>
      </w:r>
      <w:proofErr w:type="spellStart"/>
      <w:r w:rsidRPr="005B258F">
        <w:rPr>
          <w:rFonts w:ascii="Arial" w:hAnsi="Arial" w:cs="Arial"/>
          <w:sz w:val="20"/>
          <w:szCs w:val="20"/>
        </w:rPr>
        <w:t>Cagay</w:t>
      </w:r>
      <w:proofErr w:type="spellEnd"/>
      <w:r w:rsidRPr="005B258F">
        <w:rPr>
          <w:rFonts w:ascii="Arial" w:hAnsi="Arial" w:cs="Arial"/>
          <w:sz w:val="20"/>
          <w:szCs w:val="20"/>
        </w:rPr>
        <w:t xml:space="preserve">, </w:t>
      </w:r>
      <w:proofErr w:type="spellStart"/>
      <w:r w:rsidRPr="005B258F">
        <w:rPr>
          <w:rFonts w:ascii="Arial" w:hAnsi="Arial" w:cs="Arial"/>
          <w:sz w:val="20"/>
          <w:szCs w:val="20"/>
        </w:rPr>
        <w:t>Barili</w:t>
      </w:r>
      <w:proofErr w:type="spellEnd"/>
      <w:r w:rsidRPr="005B258F">
        <w:rPr>
          <w:rFonts w:ascii="Arial" w:hAnsi="Arial" w:cs="Arial"/>
          <w:sz w:val="20"/>
          <w:szCs w:val="20"/>
        </w:rPr>
        <w:t>, Cebu which was located about 10° 07’ 56.6” N latitude, 123° 32’ 44.8” E longitude. </w:t>
      </w:r>
    </w:p>
    <w:p w:rsidR="0065586D" w:rsidRPr="005B258F" w:rsidRDefault="0065586D" w:rsidP="0065586D">
      <w:pPr>
        <w:spacing w:line="480" w:lineRule="auto"/>
        <w:jc w:val="both"/>
        <w:rPr>
          <w:rFonts w:ascii="Arial" w:hAnsi="Arial" w:cs="Arial"/>
          <w:sz w:val="20"/>
          <w:szCs w:val="20"/>
        </w:rPr>
      </w:pPr>
      <w:r w:rsidRPr="005B258F">
        <w:rPr>
          <w:rFonts w:ascii="Arial" w:hAnsi="Arial" w:cs="Arial"/>
          <w:b/>
          <w:sz w:val="20"/>
          <w:szCs w:val="20"/>
        </w:rPr>
        <w:t>Experimental Design and Treatment</w:t>
      </w:r>
    </w:p>
    <w:p w:rsidR="0065586D" w:rsidRPr="005B258F" w:rsidRDefault="0065586D" w:rsidP="0065586D">
      <w:pPr>
        <w:spacing w:line="480" w:lineRule="auto"/>
        <w:ind w:firstLine="720"/>
        <w:jc w:val="both"/>
        <w:rPr>
          <w:rFonts w:ascii="Arial" w:hAnsi="Arial" w:cs="Arial"/>
          <w:sz w:val="20"/>
          <w:szCs w:val="20"/>
        </w:rPr>
      </w:pPr>
      <w:r w:rsidRPr="005B258F">
        <w:rPr>
          <w:rFonts w:ascii="Arial" w:hAnsi="Arial" w:cs="Arial"/>
          <w:sz w:val="20"/>
          <w:szCs w:val="20"/>
        </w:rPr>
        <w:t xml:space="preserve">The experiment was laid out in Randomized Complete Block Design with six treatments; fresh chicken dung alone (50 g/pot) and fresh chicken dung infused with wood ash (50 g/pot at 1:1 ratio), fresh chicken dung infused with lime (50 g/pot at 1:1 ratio), fresh chicken dung infused with biochar (50 g/pot at 1:1 ratio), fresh chicken dung infused with zeolite (50 g/pot at 1:1 ratio), and fresh chicken dung infused with aluminum sulfate (50 g/pot at 1:1 ratio). The ratio was based on the study of Xu </w:t>
      </w:r>
      <w:r w:rsidRPr="006A4B17">
        <w:rPr>
          <w:rFonts w:ascii="Arial" w:hAnsi="Arial" w:cs="Arial"/>
          <w:i/>
          <w:sz w:val="20"/>
          <w:szCs w:val="20"/>
        </w:rPr>
        <w:t>et al</w:t>
      </w:r>
      <w:r w:rsidRPr="005B258F">
        <w:rPr>
          <w:rFonts w:ascii="Arial" w:hAnsi="Arial" w:cs="Arial"/>
          <w:sz w:val="20"/>
          <w:szCs w:val="20"/>
        </w:rPr>
        <w:t>.</w:t>
      </w:r>
      <w:r>
        <w:rPr>
          <w:rFonts w:ascii="Arial" w:hAnsi="Arial" w:cs="Arial"/>
          <w:sz w:val="20"/>
          <w:szCs w:val="20"/>
        </w:rPr>
        <w:t xml:space="preserve"> [16].</w:t>
      </w:r>
    </w:p>
    <w:p w:rsidR="0065586D" w:rsidRPr="005B258F" w:rsidRDefault="0065586D" w:rsidP="0065586D">
      <w:pPr>
        <w:spacing w:line="480" w:lineRule="auto"/>
        <w:jc w:val="both"/>
        <w:rPr>
          <w:rFonts w:ascii="Arial" w:hAnsi="Arial" w:cs="Arial"/>
          <w:sz w:val="20"/>
          <w:szCs w:val="20"/>
        </w:rPr>
      </w:pPr>
      <w:r w:rsidRPr="005B258F">
        <w:rPr>
          <w:rFonts w:ascii="Arial" w:hAnsi="Arial" w:cs="Arial"/>
          <w:b/>
          <w:sz w:val="20"/>
          <w:szCs w:val="20"/>
        </w:rPr>
        <w:t>Preparation, Application and Cultural management</w:t>
      </w:r>
    </w:p>
    <w:p w:rsidR="0065586D" w:rsidRPr="005B258F" w:rsidRDefault="0065586D" w:rsidP="0065586D">
      <w:pPr>
        <w:spacing w:line="480" w:lineRule="auto"/>
        <w:ind w:firstLine="720"/>
        <w:jc w:val="both"/>
        <w:rPr>
          <w:rFonts w:ascii="Arial" w:hAnsi="Arial" w:cs="Arial"/>
          <w:sz w:val="20"/>
          <w:szCs w:val="20"/>
        </w:rPr>
      </w:pPr>
      <w:r w:rsidRPr="005B258F">
        <w:rPr>
          <w:rFonts w:ascii="Arial" w:hAnsi="Arial" w:cs="Arial"/>
          <w:sz w:val="20"/>
          <w:szCs w:val="20"/>
        </w:rPr>
        <w:t xml:space="preserve">Various anti-ammonia fertilizers (wood ash, lime, biochar, zeolite, and aluminum sulfate) were procured, while fresh chicken dung was sourced from a local poultry farm in </w:t>
      </w:r>
      <w:proofErr w:type="spellStart"/>
      <w:r w:rsidRPr="005B258F">
        <w:rPr>
          <w:rFonts w:ascii="Arial" w:hAnsi="Arial" w:cs="Arial"/>
          <w:sz w:val="20"/>
          <w:szCs w:val="20"/>
        </w:rPr>
        <w:t>Barili</w:t>
      </w:r>
      <w:proofErr w:type="spellEnd"/>
      <w:r w:rsidRPr="005B258F">
        <w:rPr>
          <w:rFonts w:ascii="Arial" w:hAnsi="Arial" w:cs="Arial"/>
          <w:sz w:val="20"/>
          <w:szCs w:val="20"/>
        </w:rPr>
        <w:t xml:space="preserve">, Cebu, Philippines. After purchase, the chicken dung was mixed in a clean container with the anti-ammonia fertilizers at a 1:1 ratio and allowed to ferment for two weeks in a cool, dry place before application to the crops. The coriander variety used in the study was OP Coriander </w:t>
      </w:r>
      <w:proofErr w:type="spellStart"/>
      <w:r w:rsidRPr="005B258F">
        <w:rPr>
          <w:rFonts w:ascii="Arial" w:hAnsi="Arial" w:cs="Arial"/>
          <w:sz w:val="20"/>
          <w:szCs w:val="20"/>
        </w:rPr>
        <w:t>Wansoy</w:t>
      </w:r>
      <w:proofErr w:type="spellEnd"/>
      <w:r w:rsidRPr="005B258F">
        <w:rPr>
          <w:rFonts w:ascii="Arial" w:hAnsi="Arial" w:cs="Arial"/>
          <w:sz w:val="20"/>
          <w:szCs w:val="20"/>
        </w:rPr>
        <w:t xml:space="preserve">. A total of 180 pots, each measuring 20.32 cm in diameter and 25.4 cm in depth, were utilized for each sample plant. Coriander seeds were germinated in a nursery for two weeks, then transplanted into pots containing 4.950 kg of thoroughly mixed garden soil to ensure uniform soil quality across all treatments. Each pot received a basal application of 50g of the treatments, resulting in a total of 5 kg per pot. All treatments were watered </w:t>
      </w:r>
      <w:r w:rsidRPr="005B258F">
        <w:rPr>
          <w:rFonts w:ascii="Arial" w:hAnsi="Arial" w:cs="Arial"/>
          <w:sz w:val="20"/>
          <w:szCs w:val="20"/>
        </w:rPr>
        <w:lastRenderedPageBreak/>
        <w:t>uniformly, approximately 250ml per pot daily, throughout the study. Insect pests were managed through handpicking, and weeds were controlled by manual pulling as needed, before and during treatment application. Plants were harvested 45 days after sowing.</w:t>
      </w:r>
    </w:p>
    <w:p w:rsidR="0065586D" w:rsidRPr="005B258F" w:rsidRDefault="0065586D" w:rsidP="0065586D">
      <w:pPr>
        <w:spacing w:line="480" w:lineRule="auto"/>
        <w:jc w:val="both"/>
        <w:rPr>
          <w:rFonts w:ascii="Arial" w:hAnsi="Arial" w:cs="Arial"/>
          <w:sz w:val="20"/>
          <w:szCs w:val="20"/>
        </w:rPr>
      </w:pPr>
      <w:r w:rsidRPr="005B258F">
        <w:rPr>
          <w:rFonts w:ascii="Arial" w:hAnsi="Arial" w:cs="Arial"/>
          <w:b/>
          <w:sz w:val="20"/>
          <w:szCs w:val="20"/>
        </w:rPr>
        <w:t>Data gathered</w:t>
      </w:r>
    </w:p>
    <w:p w:rsidR="0065586D" w:rsidRPr="005B258F" w:rsidRDefault="0065586D" w:rsidP="0065586D">
      <w:pPr>
        <w:spacing w:line="480" w:lineRule="auto"/>
        <w:jc w:val="both"/>
        <w:rPr>
          <w:rFonts w:ascii="Arial" w:hAnsi="Arial" w:cs="Arial"/>
          <w:sz w:val="20"/>
          <w:szCs w:val="20"/>
        </w:rPr>
      </w:pPr>
      <w:r w:rsidRPr="005B258F">
        <w:rPr>
          <w:rFonts w:ascii="Arial" w:hAnsi="Arial" w:cs="Arial"/>
          <w:sz w:val="20"/>
          <w:szCs w:val="20"/>
        </w:rPr>
        <w:tab/>
        <w:t>The following parameters were gathered in this study:</w:t>
      </w:r>
    </w:p>
    <w:p w:rsidR="0065586D" w:rsidRPr="005B258F" w:rsidRDefault="0065586D" w:rsidP="0065586D">
      <w:pPr>
        <w:numPr>
          <w:ilvl w:val="0"/>
          <w:numId w:val="1"/>
        </w:numPr>
        <w:spacing w:after="0" w:line="480" w:lineRule="auto"/>
        <w:jc w:val="both"/>
        <w:rPr>
          <w:rFonts w:ascii="Arial" w:hAnsi="Arial" w:cs="Arial"/>
          <w:sz w:val="20"/>
          <w:szCs w:val="20"/>
        </w:rPr>
      </w:pPr>
      <w:r w:rsidRPr="005B258F">
        <w:rPr>
          <w:rFonts w:ascii="Arial" w:hAnsi="Arial" w:cs="Arial"/>
          <w:sz w:val="20"/>
          <w:szCs w:val="20"/>
        </w:rPr>
        <w:t xml:space="preserve">Plant height (cm) - this was done by measuring the height of the sample plants from the ground to the tip of the plant. </w:t>
      </w:r>
    </w:p>
    <w:p w:rsidR="0065586D" w:rsidRPr="005B258F" w:rsidRDefault="0065586D" w:rsidP="0065586D">
      <w:pPr>
        <w:numPr>
          <w:ilvl w:val="0"/>
          <w:numId w:val="1"/>
        </w:numPr>
        <w:spacing w:after="0" w:line="480" w:lineRule="auto"/>
        <w:jc w:val="both"/>
        <w:rPr>
          <w:rFonts w:ascii="Arial" w:hAnsi="Arial" w:cs="Arial"/>
          <w:sz w:val="20"/>
          <w:szCs w:val="20"/>
        </w:rPr>
      </w:pPr>
      <w:r w:rsidRPr="005B258F">
        <w:rPr>
          <w:rFonts w:ascii="Arial" w:hAnsi="Arial" w:cs="Arial"/>
          <w:sz w:val="20"/>
          <w:szCs w:val="20"/>
        </w:rPr>
        <w:t xml:space="preserve">Number of branches - was counted in the whole plant. </w:t>
      </w:r>
    </w:p>
    <w:p w:rsidR="0065586D" w:rsidRPr="005B258F" w:rsidRDefault="0065586D" w:rsidP="0065586D">
      <w:pPr>
        <w:numPr>
          <w:ilvl w:val="0"/>
          <w:numId w:val="1"/>
        </w:numPr>
        <w:spacing w:after="0" w:line="480" w:lineRule="auto"/>
        <w:jc w:val="both"/>
        <w:rPr>
          <w:rFonts w:ascii="Arial" w:hAnsi="Arial" w:cs="Arial"/>
          <w:sz w:val="20"/>
          <w:szCs w:val="20"/>
        </w:rPr>
      </w:pPr>
      <w:r w:rsidRPr="005B258F">
        <w:rPr>
          <w:rFonts w:ascii="Arial" w:hAnsi="Arial" w:cs="Arial"/>
          <w:sz w:val="20"/>
          <w:szCs w:val="20"/>
        </w:rPr>
        <w:t>Fresh weight (g) - weight of harvested plant using a digital weighing scale.</w:t>
      </w:r>
    </w:p>
    <w:p w:rsidR="0065586D" w:rsidRPr="005B258F" w:rsidRDefault="0065586D" w:rsidP="0065586D">
      <w:pPr>
        <w:numPr>
          <w:ilvl w:val="0"/>
          <w:numId w:val="1"/>
        </w:numPr>
        <w:spacing w:after="0" w:line="480" w:lineRule="auto"/>
        <w:jc w:val="both"/>
        <w:rPr>
          <w:rFonts w:ascii="Arial" w:hAnsi="Arial" w:cs="Arial"/>
          <w:sz w:val="20"/>
          <w:szCs w:val="20"/>
        </w:rPr>
      </w:pPr>
      <w:r w:rsidRPr="005B258F">
        <w:rPr>
          <w:rFonts w:ascii="Arial" w:hAnsi="Arial" w:cs="Arial"/>
          <w:sz w:val="20"/>
          <w:szCs w:val="20"/>
        </w:rPr>
        <w:t xml:space="preserve">Dry weight (g) - plants after harvesting were air dried until weight constant. </w:t>
      </w:r>
    </w:p>
    <w:p w:rsidR="0065586D" w:rsidRPr="005B258F" w:rsidRDefault="0065586D" w:rsidP="0065586D">
      <w:pPr>
        <w:numPr>
          <w:ilvl w:val="0"/>
          <w:numId w:val="1"/>
        </w:numPr>
        <w:spacing w:after="0" w:line="480" w:lineRule="auto"/>
        <w:jc w:val="both"/>
        <w:rPr>
          <w:rFonts w:ascii="Arial" w:hAnsi="Arial" w:cs="Arial"/>
          <w:sz w:val="20"/>
          <w:szCs w:val="20"/>
        </w:rPr>
      </w:pPr>
      <w:r w:rsidRPr="005B258F">
        <w:rPr>
          <w:rFonts w:ascii="Arial" w:hAnsi="Arial" w:cs="Arial"/>
          <w:sz w:val="20"/>
          <w:szCs w:val="20"/>
        </w:rPr>
        <w:t xml:space="preserve">Root length (cm) - was done by using a ruler. </w:t>
      </w:r>
    </w:p>
    <w:p w:rsidR="0065586D" w:rsidRPr="005B258F" w:rsidRDefault="0065586D" w:rsidP="0065586D">
      <w:pPr>
        <w:numPr>
          <w:ilvl w:val="0"/>
          <w:numId w:val="1"/>
        </w:numPr>
        <w:spacing w:after="0" w:line="480" w:lineRule="auto"/>
        <w:jc w:val="both"/>
        <w:rPr>
          <w:rFonts w:ascii="Arial" w:hAnsi="Arial" w:cs="Arial"/>
          <w:sz w:val="20"/>
          <w:szCs w:val="20"/>
        </w:rPr>
      </w:pPr>
      <w:r w:rsidRPr="005B258F">
        <w:rPr>
          <w:rFonts w:ascii="Arial" w:hAnsi="Arial" w:cs="Arial"/>
          <w:sz w:val="20"/>
          <w:szCs w:val="20"/>
        </w:rPr>
        <w:t>Total soluble solids (</w:t>
      </w:r>
      <w:proofErr w:type="spellStart"/>
      <w:r w:rsidRPr="005B258F">
        <w:rPr>
          <w:rFonts w:ascii="Arial" w:hAnsi="Arial" w:cs="Arial"/>
          <w:sz w:val="20"/>
          <w:szCs w:val="20"/>
          <w:vertAlign w:val="superscript"/>
        </w:rPr>
        <w:t>o</w:t>
      </w:r>
      <w:r w:rsidRPr="005B258F">
        <w:rPr>
          <w:rFonts w:ascii="Arial" w:hAnsi="Arial" w:cs="Arial"/>
          <w:sz w:val="20"/>
          <w:szCs w:val="20"/>
        </w:rPr>
        <w:t>Brix</w:t>
      </w:r>
      <w:proofErr w:type="spellEnd"/>
      <w:r w:rsidRPr="005B258F">
        <w:rPr>
          <w:rFonts w:ascii="Arial" w:hAnsi="Arial" w:cs="Arial"/>
          <w:sz w:val="20"/>
          <w:szCs w:val="20"/>
        </w:rPr>
        <w:t>) - coriander paste was measured with a digital refractometer (Hanna HI96801). </w:t>
      </w:r>
    </w:p>
    <w:p w:rsidR="0065586D" w:rsidRPr="005B258F" w:rsidRDefault="0065586D" w:rsidP="0065586D">
      <w:pPr>
        <w:numPr>
          <w:ilvl w:val="0"/>
          <w:numId w:val="1"/>
        </w:numPr>
        <w:spacing w:line="480" w:lineRule="auto"/>
        <w:jc w:val="both"/>
        <w:rPr>
          <w:rFonts w:ascii="Arial" w:hAnsi="Arial" w:cs="Arial"/>
          <w:sz w:val="20"/>
          <w:szCs w:val="20"/>
        </w:rPr>
      </w:pPr>
      <w:r w:rsidRPr="005B258F">
        <w:rPr>
          <w:rFonts w:ascii="Arial" w:hAnsi="Arial" w:cs="Arial"/>
          <w:sz w:val="20"/>
          <w:szCs w:val="20"/>
        </w:rPr>
        <w:t>Extraction and Estimation of Chlorophyll (mg/g of tissue) -</w:t>
      </w:r>
      <w:r>
        <w:rPr>
          <w:rFonts w:ascii="Arial" w:hAnsi="Arial" w:cs="Arial"/>
          <w:sz w:val="20"/>
          <w:szCs w:val="20"/>
        </w:rPr>
        <w:t xml:space="preserve"> </w:t>
      </w:r>
      <w:r w:rsidRPr="005B258F">
        <w:rPr>
          <w:rFonts w:ascii="Arial" w:hAnsi="Arial" w:cs="Arial"/>
          <w:sz w:val="20"/>
          <w:szCs w:val="20"/>
        </w:rPr>
        <w:t xml:space="preserve">The chlorophyll content was estimated spectrophotometrically by the method of </w:t>
      </w:r>
      <w:proofErr w:type="spellStart"/>
      <w:r w:rsidRPr="005B258F">
        <w:rPr>
          <w:rFonts w:ascii="Arial" w:hAnsi="Arial" w:cs="Arial"/>
          <w:sz w:val="20"/>
          <w:szCs w:val="20"/>
        </w:rPr>
        <w:t>Sadasivan</w:t>
      </w:r>
      <w:proofErr w:type="spellEnd"/>
      <w:r w:rsidRPr="005B258F">
        <w:rPr>
          <w:rFonts w:ascii="Arial" w:hAnsi="Arial" w:cs="Arial"/>
          <w:sz w:val="20"/>
          <w:szCs w:val="20"/>
        </w:rPr>
        <w:t xml:space="preserve"> and </w:t>
      </w:r>
      <w:proofErr w:type="spellStart"/>
      <w:r w:rsidRPr="005B258F">
        <w:rPr>
          <w:rFonts w:ascii="Arial" w:hAnsi="Arial" w:cs="Arial"/>
          <w:sz w:val="20"/>
          <w:szCs w:val="20"/>
        </w:rPr>
        <w:t>Manicham</w:t>
      </w:r>
      <w:proofErr w:type="spellEnd"/>
      <w:r>
        <w:rPr>
          <w:rFonts w:ascii="Arial" w:hAnsi="Arial" w:cs="Arial"/>
          <w:sz w:val="20"/>
          <w:szCs w:val="20"/>
        </w:rPr>
        <w:t xml:space="preserve"> [17]</w:t>
      </w:r>
      <w:r w:rsidRPr="005B258F">
        <w:rPr>
          <w:rFonts w:ascii="Arial" w:hAnsi="Arial" w:cs="Arial"/>
          <w:sz w:val="20"/>
          <w:szCs w:val="20"/>
        </w:rPr>
        <w:t>. Coriander foliages (1g) were macerated separately with the addition of 20 ml of 80 % acetone to a fine pulp in a mortar and pestle. The paste was centrifuged for 5 min at 5000 rpm. The supernatant was decanted, and the left residue was then ground with 20 ml of 80 % acetone, centrifuged for 5 min at 5000 rpm, and the supernatant was again decanted. The extraction was repeated 5-10 times until the residue was colourless. The extracts were collected in a beaker, filtered and made up to 100 ml with 80 % acetone in a volumetric flask. The absorbances of the extracted solutions were recorded using the UV–VIS spectrophotometer (Jinan Hanon Instrument) at 645 nm and 663 nm against the solvent (80 % acetone) blank. The amount of chlorophyll presents in extract i.e. mg of chlorophyll per gram of tissue on dry weight basis was calculated using the following equations:</w:t>
      </w:r>
    </w:p>
    <w:p w:rsidR="0065586D" w:rsidRDefault="0065586D" w:rsidP="0065586D">
      <w:pPr>
        <w:spacing w:line="480" w:lineRule="auto"/>
        <w:rPr>
          <w:rFonts w:ascii="Arial" w:hAnsi="Arial" w:cs="Arial"/>
          <w:sz w:val="20"/>
          <w:szCs w:val="20"/>
        </w:rPr>
      </w:pPr>
    </w:p>
    <w:p w:rsidR="0065586D" w:rsidRDefault="0065586D" w:rsidP="0065586D">
      <w:pPr>
        <w:spacing w:line="480" w:lineRule="auto"/>
        <w:rPr>
          <w:rFonts w:ascii="Arial" w:hAnsi="Arial" w:cs="Arial"/>
          <w:sz w:val="20"/>
          <w:szCs w:val="20"/>
        </w:rPr>
      </w:pPr>
    </w:p>
    <w:p w:rsidR="0065586D" w:rsidRPr="005B258F" w:rsidRDefault="0065586D" w:rsidP="0065586D">
      <w:pPr>
        <w:spacing w:line="480" w:lineRule="auto"/>
        <w:rPr>
          <w:rFonts w:ascii="Arial" w:hAnsi="Arial" w:cs="Arial"/>
          <w:sz w:val="20"/>
          <w:szCs w:val="20"/>
        </w:rPr>
      </w:pPr>
      <w:r w:rsidRPr="005B258F">
        <w:rPr>
          <w:rFonts w:ascii="Arial" w:hAnsi="Arial" w:cs="Arial"/>
          <w:sz w:val="20"/>
          <w:szCs w:val="20"/>
        </w:rPr>
        <w:lastRenderedPageBreak/>
        <w:t xml:space="preserve">       Chlorophyll A'(mg/g of tissue) =[12.7</w:t>
      </w:r>
      <w:r w:rsidRPr="005B258F">
        <w:rPr>
          <w:rFonts w:ascii="Cambria Math" w:eastAsia="Cambria Math" w:hAnsi="Cambria Math" w:cs="Cambria Math"/>
          <w:sz w:val="20"/>
          <w:szCs w:val="20"/>
        </w:rPr>
        <w:t>∗</w:t>
      </w:r>
      <w:r w:rsidRPr="005B258F">
        <w:rPr>
          <w:rFonts w:ascii="Arial" w:hAnsi="Arial" w:cs="Arial"/>
          <w:sz w:val="20"/>
          <w:szCs w:val="20"/>
        </w:rPr>
        <w:t>X−2.69</w:t>
      </w:r>
      <w:r w:rsidRPr="005B258F">
        <w:rPr>
          <w:rFonts w:ascii="Cambria Math" w:eastAsia="Cambria Math" w:hAnsi="Cambria Math" w:cs="Cambria Math"/>
          <w:sz w:val="20"/>
          <w:szCs w:val="20"/>
        </w:rPr>
        <w:t>∗</w:t>
      </w:r>
      <w:r w:rsidRPr="005B258F">
        <w:rPr>
          <w:rFonts w:ascii="Arial" w:hAnsi="Arial" w:cs="Arial"/>
          <w:sz w:val="20"/>
          <w:szCs w:val="20"/>
        </w:rPr>
        <w:t>Y] ×v(1000×W)</w:t>
      </w:r>
    </w:p>
    <w:p w:rsidR="0065586D" w:rsidRPr="005B258F" w:rsidRDefault="0065586D" w:rsidP="0065586D">
      <w:pPr>
        <w:spacing w:line="480" w:lineRule="auto"/>
        <w:rPr>
          <w:rFonts w:ascii="Arial" w:hAnsi="Arial" w:cs="Arial"/>
          <w:sz w:val="20"/>
          <w:szCs w:val="20"/>
        </w:rPr>
      </w:pPr>
      <w:r w:rsidRPr="005B258F">
        <w:rPr>
          <w:rFonts w:ascii="Arial" w:hAnsi="Arial" w:cs="Arial"/>
          <w:sz w:val="20"/>
          <w:szCs w:val="20"/>
        </w:rPr>
        <w:t xml:space="preserve">                                   Chlorophyll B'(mg/g of tissue) =[22.9</w:t>
      </w:r>
      <w:r w:rsidRPr="005B258F">
        <w:rPr>
          <w:rFonts w:ascii="Cambria Math" w:eastAsia="Cambria Math" w:hAnsi="Cambria Math" w:cs="Cambria Math"/>
          <w:sz w:val="20"/>
          <w:szCs w:val="20"/>
        </w:rPr>
        <w:t>∗</w:t>
      </w:r>
      <w:r w:rsidRPr="005B258F">
        <w:rPr>
          <w:rFonts w:ascii="Arial" w:hAnsi="Arial" w:cs="Arial"/>
          <w:sz w:val="20"/>
          <w:szCs w:val="20"/>
        </w:rPr>
        <w:t>Y−4.68</w:t>
      </w:r>
      <w:r w:rsidRPr="005B258F">
        <w:rPr>
          <w:rFonts w:ascii="Cambria Math" w:eastAsia="Cambria Math" w:hAnsi="Cambria Math" w:cs="Cambria Math"/>
          <w:sz w:val="20"/>
          <w:szCs w:val="20"/>
        </w:rPr>
        <w:t>∗</w:t>
      </w:r>
      <w:r w:rsidRPr="005B258F">
        <w:rPr>
          <w:rFonts w:ascii="Arial" w:hAnsi="Arial" w:cs="Arial"/>
          <w:sz w:val="20"/>
          <w:szCs w:val="20"/>
        </w:rPr>
        <w:t>X] ×v(1000×W)</w:t>
      </w:r>
    </w:p>
    <w:p w:rsidR="0065586D" w:rsidRPr="005B258F" w:rsidRDefault="0065586D" w:rsidP="0065586D">
      <w:pPr>
        <w:spacing w:line="480" w:lineRule="auto"/>
        <w:rPr>
          <w:rFonts w:ascii="Arial" w:hAnsi="Arial" w:cs="Arial"/>
          <w:sz w:val="20"/>
          <w:szCs w:val="20"/>
        </w:rPr>
      </w:pPr>
      <w:r w:rsidRPr="005B258F">
        <w:rPr>
          <w:rFonts w:ascii="Arial" w:hAnsi="Arial" w:cs="Arial"/>
          <w:sz w:val="20"/>
          <w:szCs w:val="20"/>
        </w:rPr>
        <w:t xml:space="preserve">                                   Total Chlorophyll’ (mg/g of tissue) =[20.2</w:t>
      </w:r>
      <w:r w:rsidRPr="005B258F">
        <w:rPr>
          <w:rFonts w:ascii="Cambria Math" w:eastAsia="Cambria Math" w:hAnsi="Cambria Math" w:cs="Cambria Math"/>
          <w:sz w:val="20"/>
          <w:szCs w:val="20"/>
        </w:rPr>
        <w:t>∗</w:t>
      </w:r>
      <w:r w:rsidRPr="005B258F">
        <w:rPr>
          <w:rFonts w:ascii="Arial" w:hAnsi="Arial" w:cs="Arial"/>
          <w:sz w:val="20"/>
          <w:szCs w:val="20"/>
        </w:rPr>
        <w:t>Y+8.02</w:t>
      </w:r>
      <w:r w:rsidRPr="005B258F">
        <w:rPr>
          <w:rFonts w:ascii="Cambria Math" w:eastAsia="Cambria Math" w:hAnsi="Cambria Math" w:cs="Cambria Math"/>
          <w:sz w:val="20"/>
          <w:szCs w:val="20"/>
        </w:rPr>
        <w:t>∗</w:t>
      </w:r>
      <w:r w:rsidRPr="005B258F">
        <w:rPr>
          <w:rFonts w:ascii="Arial" w:hAnsi="Arial" w:cs="Arial"/>
          <w:sz w:val="20"/>
          <w:szCs w:val="20"/>
        </w:rPr>
        <w:t>X] ×v(1000×W)</w:t>
      </w:r>
    </w:p>
    <w:p w:rsidR="0065586D" w:rsidRPr="005B258F" w:rsidRDefault="0065586D" w:rsidP="0065586D">
      <w:pPr>
        <w:spacing w:line="480" w:lineRule="auto"/>
        <w:rPr>
          <w:rFonts w:ascii="Arial" w:hAnsi="Arial" w:cs="Arial"/>
          <w:sz w:val="20"/>
          <w:szCs w:val="20"/>
        </w:rPr>
      </w:pPr>
      <w:r w:rsidRPr="005B258F">
        <w:rPr>
          <w:rFonts w:ascii="Arial" w:hAnsi="Arial" w:cs="Arial"/>
          <w:sz w:val="20"/>
          <w:szCs w:val="20"/>
        </w:rPr>
        <w:t xml:space="preserve">                                                    Where, X = absorbance at 663 nm</w:t>
      </w:r>
    </w:p>
    <w:p w:rsidR="0065586D" w:rsidRPr="005B258F" w:rsidRDefault="0065586D" w:rsidP="0065586D">
      <w:pPr>
        <w:spacing w:line="480" w:lineRule="auto"/>
        <w:ind w:left="2880" w:firstLine="720"/>
        <w:rPr>
          <w:rFonts w:ascii="Arial" w:hAnsi="Arial" w:cs="Arial"/>
          <w:sz w:val="20"/>
          <w:szCs w:val="20"/>
        </w:rPr>
      </w:pPr>
      <w:r w:rsidRPr="005B258F">
        <w:rPr>
          <w:rFonts w:ascii="Arial" w:hAnsi="Arial" w:cs="Arial"/>
          <w:sz w:val="20"/>
          <w:szCs w:val="20"/>
        </w:rPr>
        <w:t>Y = absorbance at 645 nm</w:t>
      </w:r>
    </w:p>
    <w:p w:rsidR="0065586D" w:rsidRPr="005B258F" w:rsidRDefault="0065586D" w:rsidP="0065586D">
      <w:pPr>
        <w:spacing w:line="480" w:lineRule="auto"/>
        <w:ind w:left="2880" w:firstLine="720"/>
        <w:rPr>
          <w:rFonts w:ascii="Arial" w:hAnsi="Arial" w:cs="Arial"/>
          <w:sz w:val="20"/>
          <w:szCs w:val="20"/>
        </w:rPr>
      </w:pPr>
      <w:r w:rsidRPr="005B258F">
        <w:rPr>
          <w:rFonts w:ascii="Arial" w:hAnsi="Arial" w:cs="Arial"/>
          <w:sz w:val="20"/>
          <w:szCs w:val="20"/>
        </w:rPr>
        <w:t>W = weight of fresh tissue extracted (1 g)</w:t>
      </w:r>
    </w:p>
    <w:p w:rsidR="0065586D" w:rsidRPr="005B258F" w:rsidRDefault="0065586D" w:rsidP="0065586D">
      <w:pPr>
        <w:spacing w:line="480" w:lineRule="auto"/>
        <w:ind w:left="2880" w:firstLine="720"/>
        <w:rPr>
          <w:rFonts w:ascii="Arial" w:hAnsi="Arial" w:cs="Arial"/>
          <w:sz w:val="20"/>
          <w:szCs w:val="20"/>
        </w:rPr>
      </w:pPr>
      <w:r w:rsidRPr="005B258F">
        <w:rPr>
          <w:rFonts w:ascii="Arial" w:hAnsi="Arial" w:cs="Arial"/>
          <w:sz w:val="20"/>
          <w:szCs w:val="20"/>
        </w:rPr>
        <w:t>V = final volume of extract in 80 % acetone (100 ml)</w:t>
      </w:r>
    </w:p>
    <w:p w:rsidR="0065586D" w:rsidRPr="005B258F" w:rsidRDefault="0065586D" w:rsidP="0065586D">
      <w:pPr>
        <w:spacing w:line="480" w:lineRule="auto"/>
        <w:rPr>
          <w:rFonts w:ascii="Arial" w:hAnsi="Arial" w:cs="Arial"/>
          <w:sz w:val="20"/>
          <w:szCs w:val="20"/>
        </w:rPr>
      </w:pPr>
      <w:r w:rsidRPr="005B258F">
        <w:rPr>
          <w:rFonts w:ascii="Arial" w:hAnsi="Arial" w:cs="Arial"/>
          <w:b/>
          <w:sz w:val="20"/>
          <w:szCs w:val="20"/>
        </w:rPr>
        <w:t>Statistical Analysis</w:t>
      </w:r>
    </w:p>
    <w:p w:rsidR="0065586D" w:rsidRPr="005B258F" w:rsidRDefault="0065586D" w:rsidP="0065586D">
      <w:pPr>
        <w:spacing w:line="480" w:lineRule="auto"/>
        <w:ind w:firstLine="720"/>
        <w:jc w:val="both"/>
        <w:rPr>
          <w:rFonts w:ascii="Arial" w:hAnsi="Arial" w:cs="Arial"/>
          <w:b/>
          <w:sz w:val="20"/>
          <w:szCs w:val="20"/>
        </w:rPr>
      </w:pPr>
      <w:r w:rsidRPr="005B258F">
        <w:rPr>
          <w:rFonts w:ascii="Arial" w:hAnsi="Arial" w:cs="Arial"/>
          <w:sz w:val="20"/>
          <w:szCs w:val="20"/>
        </w:rPr>
        <w:t>Data was recorded, tabulated, consolidated and statistically analyzed through Analysis of Variance (ANOVA) for Randomized Complete Block Design (RCBD). Further testing was done through Duncan’s Multiple Range Test (DMRT) at 0.5% probability to determine the significant difference among treatment means.</w:t>
      </w:r>
    </w:p>
    <w:p w:rsidR="0065586D" w:rsidRPr="005B258F" w:rsidRDefault="0065586D" w:rsidP="0065586D">
      <w:pPr>
        <w:spacing w:line="480" w:lineRule="auto"/>
        <w:jc w:val="center"/>
        <w:rPr>
          <w:rFonts w:ascii="Arial" w:hAnsi="Arial" w:cs="Arial"/>
          <w:sz w:val="20"/>
          <w:szCs w:val="20"/>
        </w:rPr>
      </w:pPr>
      <w:r w:rsidRPr="005B258F">
        <w:rPr>
          <w:rFonts w:ascii="Arial" w:hAnsi="Arial" w:cs="Arial"/>
          <w:b/>
          <w:sz w:val="20"/>
          <w:szCs w:val="20"/>
        </w:rPr>
        <w:t>RESULTS AND DISCUSSION</w:t>
      </w:r>
    </w:p>
    <w:p w:rsidR="0065586D" w:rsidRPr="005B258F" w:rsidRDefault="0065586D" w:rsidP="0065586D">
      <w:pPr>
        <w:spacing w:line="480" w:lineRule="auto"/>
        <w:jc w:val="both"/>
        <w:rPr>
          <w:rFonts w:ascii="Arial" w:hAnsi="Arial" w:cs="Arial"/>
          <w:sz w:val="20"/>
          <w:szCs w:val="20"/>
        </w:rPr>
      </w:pPr>
      <w:r w:rsidRPr="005B258F">
        <w:rPr>
          <w:rFonts w:ascii="Arial" w:hAnsi="Arial" w:cs="Arial"/>
          <w:b/>
          <w:sz w:val="20"/>
          <w:szCs w:val="20"/>
        </w:rPr>
        <w:t>Growth </w:t>
      </w:r>
    </w:p>
    <w:p w:rsidR="0065586D" w:rsidRPr="005B258F" w:rsidRDefault="0065586D" w:rsidP="0065586D">
      <w:pPr>
        <w:spacing w:line="480" w:lineRule="auto"/>
        <w:ind w:firstLine="720"/>
        <w:jc w:val="both"/>
        <w:rPr>
          <w:rFonts w:ascii="Arial" w:hAnsi="Arial" w:cs="Arial"/>
          <w:sz w:val="20"/>
          <w:szCs w:val="20"/>
        </w:rPr>
      </w:pPr>
      <w:r w:rsidRPr="005B258F">
        <w:rPr>
          <w:rFonts w:ascii="Arial" w:hAnsi="Arial" w:cs="Arial"/>
          <w:sz w:val="20"/>
          <w:szCs w:val="20"/>
        </w:rPr>
        <w:t xml:space="preserve">Infusing lime to fresh chicken dung consistently </w:t>
      </w:r>
      <w:r w:rsidRPr="006127BE">
        <w:rPr>
          <w:rFonts w:ascii="Arial" w:hAnsi="Arial" w:cs="Arial"/>
          <w:strike/>
          <w:sz w:val="20"/>
          <w:szCs w:val="20"/>
          <w:highlight w:val="red"/>
        </w:rPr>
        <w:t>exhibited</w:t>
      </w:r>
      <w:r w:rsidRPr="005B258F">
        <w:rPr>
          <w:rFonts w:ascii="Arial" w:hAnsi="Arial" w:cs="Arial"/>
          <w:sz w:val="20"/>
          <w:szCs w:val="20"/>
        </w:rPr>
        <w:t xml:space="preserve"> </w:t>
      </w:r>
      <w:r w:rsidRPr="006127BE">
        <w:rPr>
          <w:rFonts w:ascii="Arial" w:hAnsi="Arial" w:cs="Arial"/>
          <w:sz w:val="20"/>
          <w:szCs w:val="20"/>
          <w:highlight w:val="yellow"/>
        </w:rPr>
        <w:t>produced</w:t>
      </w:r>
      <w:r w:rsidRPr="005B258F">
        <w:rPr>
          <w:rFonts w:ascii="Arial" w:hAnsi="Arial" w:cs="Arial"/>
          <w:sz w:val="20"/>
          <w:szCs w:val="20"/>
        </w:rPr>
        <w:t xml:space="preserve"> the tallest plants, measuring 20.63±0.49SE cm, and the most number of branches, averaging 8.10±0.057SE. Additionally, these plants achieved the heaviest fresh weight of 323.33±1.90SE g/plant and dry weight of 23.67±2.18SE g/plant, alongside the longest root </w:t>
      </w:r>
      <w:r w:rsidRPr="006127BE">
        <w:rPr>
          <w:rFonts w:ascii="Arial" w:hAnsi="Arial" w:cs="Arial"/>
          <w:strike/>
          <w:sz w:val="20"/>
          <w:szCs w:val="20"/>
          <w:highlight w:val="red"/>
        </w:rPr>
        <w:t>length</w:t>
      </w:r>
      <w:r w:rsidRPr="005B258F">
        <w:rPr>
          <w:rFonts w:ascii="Arial" w:hAnsi="Arial" w:cs="Arial"/>
          <w:sz w:val="20"/>
          <w:szCs w:val="20"/>
        </w:rPr>
        <w:t xml:space="preserve"> of 11.67±0.23SE cm (Table 1). Overall, plants with fresh chicken dung alone yielded the shortest plants, lowest number of branches, lightest fre</w:t>
      </w:r>
      <w:r>
        <w:rPr>
          <w:rFonts w:ascii="Arial" w:hAnsi="Arial" w:cs="Arial"/>
          <w:sz w:val="20"/>
          <w:szCs w:val="20"/>
        </w:rPr>
        <w:t xml:space="preserve">sh and dry weight, and shortest </w:t>
      </w:r>
      <w:r w:rsidRPr="005B258F">
        <w:rPr>
          <w:rFonts w:ascii="Arial" w:hAnsi="Arial" w:cs="Arial"/>
          <w:sz w:val="20"/>
          <w:szCs w:val="20"/>
        </w:rPr>
        <w:t>root</w:t>
      </w:r>
      <w:r>
        <w:rPr>
          <w:rFonts w:ascii="Arial" w:hAnsi="Arial" w:cs="Arial"/>
          <w:sz w:val="20"/>
          <w:szCs w:val="20"/>
        </w:rPr>
        <w:t>s</w:t>
      </w:r>
      <w:r w:rsidRPr="005B258F">
        <w:rPr>
          <w:rFonts w:ascii="Arial" w:hAnsi="Arial" w:cs="Arial"/>
          <w:sz w:val="20"/>
          <w:szCs w:val="20"/>
        </w:rPr>
        <w:t xml:space="preserve"> </w:t>
      </w:r>
      <w:r w:rsidRPr="006127BE">
        <w:rPr>
          <w:rFonts w:ascii="Arial" w:hAnsi="Arial" w:cs="Arial"/>
          <w:strike/>
          <w:sz w:val="20"/>
          <w:szCs w:val="20"/>
          <w:highlight w:val="red"/>
        </w:rPr>
        <w:t>length</w:t>
      </w:r>
      <w:r w:rsidRPr="005B258F">
        <w:rPr>
          <w:rFonts w:ascii="Arial" w:hAnsi="Arial" w:cs="Arial"/>
          <w:sz w:val="20"/>
          <w:szCs w:val="20"/>
        </w:rPr>
        <w:t xml:space="preserve">. The current finding aligns with the results of Salim </w:t>
      </w:r>
      <w:r w:rsidRPr="006127BE">
        <w:rPr>
          <w:rFonts w:ascii="Arial" w:hAnsi="Arial" w:cs="Arial"/>
          <w:i/>
          <w:sz w:val="20"/>
          <w:szCs w:val="20"/>
        </w:rPr>
        <w:t>et al</w:t>
      </w:r>
      <w:r w:rsidRPr="005B258F">
        <w:rPr>
          <w:rFonts w:ascii="Arial" w:hAnsi="Arial" w:cs="Arial"/>
          <w:sz w:val="20"/>
          <w:szCs w:val="20"/>
        </w:rPr>
        <w:t>.</w:t>
      </w:r>
      <w:r>
        <w:rPr>
          <w:rFonts w:ascii="Arial" w:hAnsi="Arial" w:cs="Arial"/>
          <w:sz w:val="20"/>
          <w:szCs w:val="20"/>
        </w:rPr>
        <w:t xml:space="preserve"> [18]</w:t>
      </w:r>
      <w:r w:rsidRPr="005B258F">
        <w:rPr>
          <w:rFonts w:ascii="Arial" w:hAnsi="Arial" w:cs="Arial"/>
          <w:sz w:val="20"/>
          <w:szCs w:val="20"/>
        </w:rPr>
        <w:t xml:space="preserve"> where it was found out that Ammonia (NH</w:t>
      </w:r>
      <w:r w:rsidRPr="005B258F">
        <w:rPr>
          <w:rFonts w:ascii="Arial" w:hAnsi="Arial" w:cs="Arial"/>
          <w:sz w:val="20"/>
          <w:szCs w:val="20"/>
          <w:vertAlign w:val="subscript"/>
        </w:rPr>
        <w:t>3</w:t>
      </w:r>
      <w:r w:rsidRPr="005B258F">
        <w:rPr>
          <w:rFonts w:ascii="Arial" w:hAnsi="Arial" w:cs="Arial"/>
          <w:sz w:val="20"/>
          <w:szCs w:val="20"/>
        </w:rPr>
        <w:t>) emissions from poultry farming operations have become a crucial concern due to their potential adverse effects. Therefore, ammonia, a by</w:t>
      </w:r>
      <w:r w:rsidRPr="006127BE">
        <w:rPr>
          <w:rFonts w:ascii="Arial" w:hAnsi="Arial" w:cs="Arial"/>
          <w:sz w:val="20"/>
          <w:szCs w:val="20"/>
          <w:highlight w:val="yellow"/>
        </w:rPr>
        <w:t>-</w:t>
      </w:r>
      <w:r w:rsidRPr="005B258F">
        <w:rPr>
          <w:rFonts w:ascii="Arial" w:hAnsi="Arial" w:cs="Arial"/>
          <w:sz w:val="20"/>
          <w:szCs w:val="20"/>
        </w:rPr>
        <w:t xml:space="preserve">product of microbial decomposition in chicken dung, can be harmful to crops if not properly managed. Moreover, the study concluded that infusing lime to chicken dung significantly enhances the plant height, number of branches, root length, fresh and dry </w:t>
      </w:r>
      <w:r w:rsidRPr="005B258F">
        <w:rPr>
          <w:rFonts w:ascii="Arial" w:hAnsi="Arial" w:cs="Arial"/>
          <w:sz w:val="20"/>
          <w:szCs w:val="20"/>
        </w:rPr>
        <w:lastRenderedPageBreak/>
        <w:t xml:space="preserve">weight of </w:t>
      </w:r>
      <w:r w:rsidRPr="005B258F">
        <w:rPr>
          <w:rFonts w:ascii="Arial" w:hAnsi="Arial" w:cs="Arial"/>
          <w:i/>
          <w:sz w:val="20"/>
          <w:szCs w:val="20"/>
        </w:rPr>
        <w:t>Coriandrum sativum</w:t>
      </w:r>
      <w:r w:rsidRPr="005B258F">
        <w:rPr>
          <w:rFonts w:ascii="Arial" w:hAnsi="Arial" w:cs="Arial"/>
          <w:sz w:val="20"/>
          <w:szCs w:val="20"/>
        </w:rPr>
        <w:t xml:space="preserve"> more effectively than fresh chicken dung alone. The present finding agrees with the findings </w:t>
      </w:r>
      <w:proofErr w:type="spellStart"/>
      <w:r w:rsidRPr="005B258F">
        <w:rPr>
          <w:rFonts w:ascii="Arial" w:hAnsi="Arial" w:cs="Arial"/>
          <w:sz w:val="20"/>
          <w:szCs w:val="20"/>
        </w:rPr>
        <w:t>Pudjirahaju</w:t>
      </w:r>
      <w:proofErr w:type="spellEnd"/>
      <w:r w:rsidRPr="005B258F">
        <w:rPr>
          <w:rFonts w:ascii="Arial" w:hAnsi="Arial" w:cs="Arial"/>
          <w:sz w:val="20"/>
          <w:szCs w:val="20"/>
        </w:rPr>
        <w:t xml:space="preserve"> </w:t>
      </w:r>
      <w:r w:rsidRPr="006127BE">
        <w:rPr>
          <w:rFonts w:ascii="Arial" w:hAnsi="Arial" w:cs="Arial"/>
          <w:i/>
          <w:sz w:val="20"/>
          <w:szCs w:val="20"/>
        </w:rPr>
        <w:t>et al</w:t>
      </w:r>
      <w:r w:rsidRPr="005B258F">
        <w:rPr>
          <w:rFonts w:ascii="Arial" w:hAnsi="Arial" w:cs="Arial"/>
          <w:sz w:val="20"/>
          <w:szCs w:val="20"/>
        </w:rPr>
        <w:t>.</w:t>
      </w:r>
      <w:r>
        <w:rPr>
          <w:rFonts w:ascii="Arial" w:hAnsi="Arial" w:cs="Arial"/>
          <w:sz w:val="20"/>
          <w:szCs w:val="20"/>
        </w:rPr>
        <w:t xml:space="preserve"> [19]</w:t>
      </w:r>
      <w:r w:rsidRPr="005B258F">
        <w:rPr>
          <w:rFonts w:ascii="Arial" w:hAnsi="Arial" w:cs="Arial"/>
          <w:sz w:val="20"/>
          <w:szCs w:val="20"/>
        </w:rPr>
        <w:t xml:space="preserve"> where it was found out that there is a reduction in the levels of ammonia gas from 1.67 to 0.78 ppm by spreading lime evenly over the chicken dung and stated that it was the most effective method that farmers could use to reduce ammonia.  Furthermore, </w:t>
      </w:r>
      <w:proofErr w:type="spellStart"/>
      <w:r w:rsidRPr="005B258F">
        <w:rPr>
          <w:rFonts w:ascii="Arial" w:hAnsi="Arial" w:cs="Arial"/>
          <w:sz w:val="20"/>
          <w:szCs w:val="20"/>
        </w:rPr>
        <w:t>Drapanauskaitė</w:t>
      </w:r>
      <w:proofErr w:type="spellEnd"/>
      <w:r w:rsidRPr="005B258F">
        <w:rPr>
          <w:rFonts w:ascii="Arial" w:hAnsi="Arial" w:cs="Arial"/>
          <w:sz w:val="20"/>
          <w:szCs w:val="20"/>
        </w:rPr>
        <w:t xml:space="preserve"> </w:t>
      </w:r>
      <w:r w:rsidRPr="006127BE">
        <w:rPr>
          <w:rFonts w:ascii="Arial" w:hAnsi="Arial" w:cs="Arial"/>
          <w:i/>
          <w:sz w:val="20"/>
          <w:szCs w:val="20"/>
        </w:rPr>
        <w:t>et al</w:t>
      </w:r>
      <w:r w:rsidRPr="005B258F">
        <w:rPr>
          <w:rFonts w:ascii="Arial" w:hAnsi="Arial" w:cs="Arial"/>
          <w:sz w:val="20"/>
          <w:szCs w:val="20"/>
        </w:rPr>
        <w:t>.</w:t>
      </w:r>
      <w:r>
        <w:rPr>
          <w:rFonts w:ascii="Arial" w:hAnsi="Arial" w:cs="Arial"/>
          <w:sz w:val="20"/>
          <w:szCs w:val="20"/>
        </w:rPr>
        <w:t xml:space="preserve"> [20]</w:t>
      </w:r>
      <w:r w:rsidRPr="005B258F">
        <w:rPr>
          <w:rFonts w:ascii="Arial" w:hAnsi="Arial" w:cs="Arial"/>
          <w:sz w:val="20"/>
          <w:szCs w:val="20"/>
        </w:rPr>
        <w:t xml:space="preserve"> reported that lime application improved soil pH, nutrient availability, and crop biomass, demonstrating the positive effects of lime on agricultural productivity.</w:t>
      </w:r>
    </w:p>
    <w:tbl>
      <w:tblPr>
        <w:tblStyle w:val="Style13"/>
        <w:tblW w:w="11717" w:type="dxa"/>
        <w:tblInd w:w="-1227"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5"/>
        <w:gridCol w:w="475"/>
        <w:gridCol w:w="992"/>
        <w:gridCol w:w="851"/>
        <w:gridCol w:w="937"/>
        <w:gridCol w:w="55"/>
        <w:gridCol w:w="851"/>
        <w:gridCol w:w="708"/>
        <w:gridCol w:w="142"/>
        <w:gridCol w:w="851"/>
        <w:gridCol w:w="1134"/>
        <w:gridCol w:w="939"/>
        <w:gridCol w:w="975"/>
        <w:gridCol w:w="105"/>
        <w:gridCol w:w="107"/>
      </w:tblGrid>
      <w:tr w:rsidR="0065586D" w:rsidRPr="005B258F" w:rsidTr="00684D7A">
        <w:trPr>
          <w:gridAfter w:val="1"/>
          <w:wAfter w:w="107" w:type="dxa"/>
          <w:trHeight w:val="470"/>
        </w:trPr>
        <w:tc>
          <w:tcPr>
            <w:tcW w:w="11610" w:type="dxa"/>
            <w:gridSpan w:val="14"/>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rPr>
                <w:rFonts w:ascii="Arial" w:hAnsi="Arial" w:cs="Arial"/>
                <w:b/>
              </w:rPr>
            </w:pPr>
            <w:r w:rsidRPr="005B258F">
              <w:rPr>
                <w:rFonts w:ascii="Arial" w:hAnsi="Arial" w:cs="Arial"/>
                <w:b/>
              </w:rPr>
              <w:t xml:space="preserve">Table1: Effect of infusing Anti-ammonia amendment on Fresh Chicken Dung and their interactions to the  </w:t>
            </w:r>
          </w:p>
          <w:p w:rsidR="0065586D" w:rsidRPr="005B258F" w:rsidRDefault="0065586D" w:rsidP="00684D7A">
            <w:pPr>
              <w:spacing w:after="0" w:line="240" w:lineRule="auto"/>
              <w:rPr>
                <w:rFonts w:ascii="Arial" w:hAnsi="Arial" w:cs="Arial"/>
                <w:b/>
              </w:rPr>
            </w:pPr>
            <w:r w:rsidRPr="005B258F">
              <w:rPr>
                <w:rFonts w:ascii="Arial" w:hAnsi="Arial" w:cs="Arial"/>
                <w:b/>
              </w:rPr>
              <w:t xml:space="preserve">             Growth and Biomass of </w:t>
            </w:r>
            <w:r w:rsidRPr="005B258F">
              <w:rPr>
                <w:rFonts w:ascii="Arial" w:hAnsi="Arial" w:cs="Arial"/>
                <w:b/>
                <w:i/>
              </w:rPr>
              <w:t xml:space="preserve">Coriandrum sativum. </w:t>
            </w:r>
          </w:p>
        </w:tc>
      </w:tr>
      <w:tr w:rsidR="0065586D" w:rsidRPr="005B258F" w:rsidTr="00684D7A">
        <w:trPr>
          <w:gridAfter w:val="2"/>
          <w:wAfter w:w="212" w:type="dxa"/>
          <w:trHeight w:val="522"/>
        </w:trPr>
        <w:tc>
          <w:tcPr>
            <w:tcW w:w="2595"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rPr>
                <w:rFonts w:ascii="Arial" w:hAnsi="Arial" w:cs="Arial"/>
              </w:rPr>
            </w:pPr>
          </w:p>
        </w:tc>
        <w:tc>
          <w:tcPr>
            <w:tcW w:w="3255" w:type="dxa"/>
            <w:gridSpan w:val="4"/>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 xml:space="preserve">     Plant height (cm)</w:t>
            </w:r>
          </w:p>
          <w:p w:rsidR="0065586D" w:rsidRPr="005B258F" w:rsidRDefault="0065586D" w:rsidP="00684D7A">
            <w:pPr>
              <w:spacing w:after="0" w:line="240" w:lineRule="auto"/>
              <w:jc w:val="center"/>
              <w:rPr>
                <w:rFonts w:ascii="Arial" w:hAnsi="Arial" w:cs="Arial"/>
                <w:b/>
              </w:rPr>
            </w:pPr>
          </w:p>
        </w:tc>
        <w:tc>
          <w:tcPr>
            <w:tcW w:w="2607" w:type="dxa"/>
            <w:gridSpan w:val="5"/>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Branch number</w:t>
            </w:r>
          </w:p>
        </w:tc>
        <w:tc>
          <w:tcPr>
            <w:tcW w:w="1134"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p>
        </w:tc>
        <w:tc>
          <w:tcPr>
            <w:tcW w:w="939"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rPr>
                <w:rFonts w:ascii="Arial" w:hAnsi="Arial" w:cs="Arial"/>
                <w:b/>
              </w:rPr>
            </w:pPr>
          </w:p>
        </w:tc>
        <w:tc>
          <w:tcPr>
            <w:tcW w:w="975"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rPr>
                <w:rFonts w:ascii="Arial" w:hAnsi="Arial" w:cs="Arial"/>
                <w:b/>
              </w:rPr>
            </w:pPr>
          </w:p>
        </w:tc>
      </w:tr>
      <w:tr w:rsidR="0065586D" w:rsidRPr="005B258F" w:rsidTr="00684D7A">
        <w:trPr>
          <w:trHeight w:val="700"/>
        </w:trPr>
        <w:tc>
          <w:tcPr>
            <w:tcW w:w="3070" w:type="dxa"/>
            <w:gridSpan w:val="2"/>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rPr>
                <w:rFonts w:ascii="Arial" w:hAnsi="Arial" w:cs="Arial"/>
                <w:b/>
              </w:rPr>
            </w:pPr>
          </w:p>
          <w:p w:rsidR="0065586D" w:rsidRPr="005B258F" w:rsidRDefault="0065586D" w:rsidP="00684D7A">
            <w:pPr>
              <w:spacing w:after="0" w:line="240" w:lineRule="auto"/>
              <w:ind w:right="1800"/>
              <w:rPr>
                <w:rFonts w:ascii="Arial" w:hAnsi="Arial" w:cs="Arial"/>
                <w:b/>
              </w:rPr>
            </w:pPr>
          </w:p>
          <w:p w:rsidR="0065586D" w:rsidRPr="005B258F" w:rsidRDefault="0065586D" w:rsidP="00684D7A">
            <w:pPr>
              <w:spacing w:after="0" w:line="240" w:lineRule="auto"/>
              <w:ind w:right="322"/>
              <w:jc w:val="center"/>
              <w:rPr>
                <w:rFonts w:ascii="Arial" w:hAnsi="Arial" w:cs="Arial"/>
                <w:b/>
              </w:rPr>
            </w:pPr>
            <w:r w:rsidRPr="005B258F">
              <w:rPr>
                <w:rFonts w:ascii="Arial" w:hAnsi="Arial" w:cs="Arial"/>
                <w:b/>
              </w:rPr>
              <w:t>Treatments</w:t>
            </w:r>
          </w:p>
          <w:p w:rsidR="0065586D" w:rsidRPr="005B258F" w:rsidRDefault="0065586D" w:rsidP="00684D7A">
            <w:pPr>
              <w:spacing w:after="0" w:line="240" w:lineRule="auto"/>
              <w:ind w:right="240"/>
              <w:jc w:val="center"/>
              <w:rPr>
                <w:rFonts w:ascii="Arial" w:hAnsi="Arial" w:cs="Arial"/>
                <w:b/>
              </w:rPr>
            </w:pPr>
          </w:p>
        </w:tc>
        <w:tc>
          <w:tcPr>
            <w:tcW w:w="992"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vertAlign w:val="superscript"/>
              </w:rPr>
            </w:pPr>
            <w:r w:rsidRPr="005B258F">
              <w:rPr>
                <w:rFonts w:ascii="Arial" w:hAnsi="Arial" w:cs="Arial"/>
                <w:b/>
              </w:rPr>
              <w:t>2</w:t>
            </w:r>
            <w:r w:rsidRPr="005B258F">
              <w:rPr>
                <w:rFonts w:ascii="Arial" w:hAnsi="Arial" w:cs="Arial"/>
                <w:b/>
                <w:vertAlign w:val="superscript"/>
              </w:rPr>
              <w:t xml:space="preserve">nd </w:t>
            </w:r>
          </w:p>
          <w:p w:rsidR="0065586D" w:rsidRPr="005B258F" w:rsidRDefault="0065586D" w:rsidP="00684D7A">
            <w:pPr>
              <w:spacing w:after="0" w:line="240" w:lineRule="auto"/>
              <w:jc w:val="center"/>
              <w:rPr>
                <w:rFonts w:ascii="Arial" w:hAnsi="Arial" w:cs="Arial"/>
                <w:b/>
              </w:rPr>
            </w:pPr>
            <w:r w:rsidRPr="005B258F">
              <w:rPr>
                <w:rFonts w:ascii="Arial" w:hAnsi="Arial" w:cs="Arial"/>
                <w:b/>
              </w:rPr>
              <w:t>week</w:t>
            </w:r>
          </w:p>
        </w:tc>
        <w:tc>
          <w:tcPr>
            <w:tcW w:w="851"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4</w:t>
            </w:r>
            <w:r w:rsidRPr="005B258F">
              <w:rPr>
                <w:rFonts w:ascii="Arial" w:hAnsi="Arial" w:cs="Arial"/>
                <w:b/>
                <w:vertAlign w:val="superscript"/>
              </w:rPr>
              <w:t>th</w:t>
            </w:r>
            <w:r w:rsidRPr="005B258F">
              <w:rPr>
                <w:rFonts w:ascii="Arial" w:hAnsi="Arial" w:cs="Arial"/>
                <w:b/>
              </w:rPr>
              <w:t xml:space="preserve"> week</w:t>
            </w:r>
          </w:p>
        </w:tc>
        <w:tc>
          <w:tcPr>
            <w:tcW w:w="992" w:type="dxa"/>
            <w:gridSpan w:val="2"/>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6</w:t>
            </w:r>
            <w:r w:rsidRPr="005B258F">
              <w:rPr>
                <w:rFonts w:ascii="Arial" w:hAnsi="Arial" w:cs="Arial"/>
                <w:b/>
                <w:vertAlign w:val="superscript"/>
              </w:rPr>
              <w:t>th</w:t>
            </w:r>
          </w:p>
          <w:p w:rsidR="0065586D" w:rsidRPr="005B258F" w:rsidRDefault="0065586D" w:rsidP="00684D7A">
            <w:pPr>
              <w:spacing w:after="0" w:line="240" w:lineRule="auto"/>
              <w:jc w:val="center"/>
              <w:rPr>
                <w:rFonts w:ascii="Arial" w:hAnsi="Arial" w:cs="Arial"/>
                <w:b/>
              </w:rPr>
            </w:pPr>
            <w:r w:rsidRPr="005B258F">
              <w:rPr>
                <w:rFonts w:ascii="Arial" w:hAnsi="Arial" w:cs="Arial"/>
                <w:b/>
              </w:rPr>
              <w:t>week</w:t>
            </w:r>
          </w:p>
          <w:p w:rsidR="0065586D" w:rsidRPr="005B258F" w:rsidRDefault="0065586D" w:rsidP="00684D7A">
            <w:pPr>
              <w:spacing w:after="0" w:line="240" w:lineRule="auto"/>
              <w:jc w:val="center"/>
              <w:rPr>
                <w:rFonts w:ascii="Arial" w:hAnsi="Arial" w:cs="Arial"/>
                <w:b/>
              </w:rPr>
            </w:pPr>
            <w:r w:rsidRPr="005B258F">
              <w:rPr>
                <w:rFonts w:ascii="Arial" w:hAnsi="Arial" w:cs="Arial"/>
                <w:b/>
              </w:rPr>
              <w:t>(at harvest)</w:t>
            </w:r>
          </w:p>
        </w:tc>
        <w:tc>
          <w:tcPr>
            <w:tcW w:w="851"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2</w:t>
            </w:r>
            <w:r w:rsidRPr="005B258F">
              <w:rPr>
                <w:rFonts w:ascii="Arial" w:hAnsi="Arial" w:cs="Arial"/>
                <w:b/>
                <w:vertAlign w:val="superscript"/>
              </w:rPr>
              <w:t>nd</w:t>
            </w:r>
            <w:r w:rsidRPr="005B258F">
              <w:rPr>
                <w:rFonts w:ascii="Arial" w:hAnsi="Arial" w:cs="Arial"/>
                <w:b/>
              </w:rPr>
              <w:t xml:space="preserve"> week</w:t>
            </w:r>
          </w:p>
        </w:tc>
        <w:tc>
          <w:tcPr>
            <w:tcW w:w="708"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4</w:t>
            </w:r>
            <w:r w:rsidRPr="005B258F">
              <w:rPr>
                <w:rFonts w:ascii="Arial" w:hAnsi="Arial" w:cs="Arial"/>
                <w:b/>
                <w:vertAlign w:val="superscript"/>
              </w:rPr>
              <w:t>th</w:t>
            </w:r>
          </w:p>
          <w:p w:rsidR="0065586D" w:rsidRPr="005B258F" w:rsidRDefault="0065586D" w:rsidP="00684D7A">
            <w:pPr>
              <w:spacing w:after="0" w:line="240" w:lineRule="auto"/>
              <w:jc w:val="center"/>
              <w:rPr>
                <w:rFonts w:ascii="Arial" w:hAnsi="Arial" w:cs="Arial"/>
                <w:b/>
              </w:rPr>
            </w:pPr>
            <w:r w:rsidRPr="005B258F">
              <w:rPr>
                <w:rFonts w:ascii="Arial" w:hAnsi="Arial" w:cs="Arial"/>
                <w:b/>
              </w:rPr>
              <w:t>week</w:t>
            </w:r>
          </w:p>
        </w:tc>
        <w:tc>
          <w:tcPr>
            <w:tcW w:w="993" w:type="dxa"/>
            <w:gridSpan w:val="2"/>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6</w:t>
            </w:r>
            <w:r w:rsidRPr="005B258F">
              <w:rPr>
                <w:rFonts w:ascii="Arial" w:hAnsi="Arial" w:cs="Arial"/>
                <w:b/>
                <w:vertAlign w:val="superscript"/>
              </w:rPr>
              <w:t>th</w:t>
            </w:r>
            <w:r w:rsidRPr="005B258F">
              <w:rPr>
                <w:rFonts w:ascii="Arial" w:hAnsi="Arial" w:cs="Arial"/>
                <w:b/>
              </w:rPr>
              <w:t xml:space="preserve"> week (at harvest)</w:t>
            </w:r>
          </w:p>
        </w:tc>
        <w:tc>
          <w:tcPr>
            <w:tcW w:w="1134"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Fresh weight at harvest (g)</w:t>
            </w:r>
          </w:p>
        </w:tc>
        <w:tc>
          <w:tcPr>
            <w:tcW w:w="939"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Dry weight at harvest</w:t>
            </w:r>
          </w:p>
        </w:tc>
        <w:tc>
          <w:tcPr>
            <w:tcW w:w="1187" w:type="dxa"/>
            <w:gridSpan w:val="3"/>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Root Length at harvest (cm)</w:t>
            </w:r>
          </w:p>
          <w:p w:rsidR="0065586D" w:rsidRPr="005B258F" w:rsidRDefault="0065586D" w:rsidP="00684D7A">
            <w:pPr>
              <w:spacing w:after="0" w:line="240" w:lineRule="auto"/>
              <w:jc w:val="center"/>
              <w:rPr>
                <w:rFonts w:ascii="Arial" w:hAnsi="Arial" w:cs="Arial"/>
                <w:b/>
              </w:rPr>
            </w:pPr>
          </w:p>
        </w:tc>
      </w:tr>
      <w:tr w:rsidR="0065586D" w:rsidRPr="005B258F" w:rsidTr="00684D7A">
        <w:trPr>
          <w:gridAfter w:val="2"/>
          <w:wAfter w:w="212" w:type="dxa"/>
          <w:trHeight w:val="459"/>
        </w:trPr>
        <w:tc>
          <w:tcPr>
            <w:tcW w:w="3070" w:type="dxa"/>
            <w:gridSpan w:val="2"/>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 xml:space="preserve">   T0- Fresh chicken dung alone</w:t>
            </w:r>
          </w:p>
          <w:p w:rsidR="0065586D" w:rsidRPr="005B258F" w:rsidRDefault="0065586D" w:rsidP="00684D7A">
            <w:pPr>
              <w:spacing w:after="0" w:line="240" w:lineRule="auto"/>
              <w:jc w:val="center"/>
              <w:rPr>
                <w:rFonts w:ascii="Arial" w:hAnsi="Arial" w:cs="Arial"/>
              </w:rPr>
            </w:pPr>
          </w:p>
        </w:tc>
        <w:tc>
          <w:tcPr>
            <w:tcW w:w="992"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3.53</w:t>
            </w:r>
            <w:r w:rsidRPr="005B258F">
              <w:rPr>
                <w:rFonts w:ascii="Arial" w:hAnsi="Arial" w:cs="Arial"/>
                <w:vertAlign w:val="superscript"/>
              </w:rPr>
              <w:t>c</w:t>
            </w:r>
          </w:p>
        </w:tc>
        <w:tc>
          <w:tcPr>
            <w:tcW w:w="851"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6.43</w:t>
            </w:r>
            <w:r w:rsidRPr="005B258F">
              <w:rPr>
                <w:rFonts w:ascii="Arial" w:hAnsi="Arial" w:cs="Arial"/>
                <w:vertAlign w:val="superscript"/>
              </w:rPr>
              <w:t>b</w:t>
            </w:r>
          </w:p>
        </w:tc>
        <w:tc>
          <w:tcPr>
            <w:tcW w:w="937"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4.80</w:t>
            </w:r>
            <w:r w:rsidRPr="005B258F">
              <w:rPr>
                <w:rFonts w:ascii="Arial" w:hAnsi="Arial" w:cs="Arial"/>
                <w:vertAlign w:val="superscript"/>
              </w:rPr>
              <w:t>c</w:t>
            </w:r>
          </w:p>
        </w:tc>
        <w:tc>
          <w:tcPr>
            <w:tcW w:w="906" w:type="dxa"/>
            <w:gridSpan w:val="2"/>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1.30</w:t>
            </w:r>
            <w:r w:rsidRPr="005B258F">
              <w:rPr>
                <w:rFonts w:ascii="Arial" w:hAnsi="Arial" w:cs="Arial"/>
                <w:vertAlign w:val="superscript"/>
              </w:rPr>
              <w:t>c</w:t>
            </w:r>
          </w:p>
        </w:tc>
        <w:tc>
          <w:tcPr>
            <w:tcW w:w="850" w:type="dxa"/>
            <w:gridSpan w:val="2"/>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2.27</w:t>
            </w:r>
            <w:r w:rsidRPr="005B258F">
              <w:rPr>
                <w:rFonts w:ascii="Arial" w:hAnsi="Arial" w:cs="Arial"/>
                <w:vertAlign w:val="superscript"/>
              </w:rPr>
              <w:t>c</w:t>
            </w:r>
          </w:p>
        </w:tc>
        <w:tc>
          <w:tcPr>
            <w:tcW w:w="851"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3.33</w:t>
            </w:r>
            <w:r w:rsidRPr="005B258F">
              <w:rPr>
                <w:rFonts w:ascii="Arial" w:hAnsi="Arial" w:cs="Arial"/>
                <w:vertAlign w:val="superscript"/>
              </w:rPr>
              <w:t>e</w:t>
            </w:r>
          </w:p>
        </w:tc>
        <w:tc>
          <w:tcPr>
            <w:tcW w:w="1134"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28.33</w:t>
            </w:r>
            <w:r w:rsidRPr="005B258F">
              <w:rPr>
                <w:rFonts w:ascii="Arial" w:hAnsi="Arial" w:cs="Arial"/>
                <w:vertAlign w:val="superscript"/>
              </w:rPr>
              <w:t>d</w:t>
            </w:r>
          </w:p>
        </w:tc>
        <w:tc>
          <w:tcPr>
            <w:tcW w:w="939"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2.33</w:t>
            </w:r>
            <w:r w:rsidRPr="005B258F">
              <w:rPr>
                <w:rFonts w:ascii="Arial" w:hAnsi="Arial" w:cs="Arial"/>
                <w:vertAlign w:val="superscript"/>
              </w:rPr>
              <w:t>c</w:t>
            </w:r>
          </w:p>
        </w:tc>
        <w:tc>
          <w:tcPr>
            <w:tcW w:w="975"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8.36</w:t>
            </w:r>
            <w:r w:rsidRPr="005B258F">
              <w:rPr>
                <w:rFonts w:ascii="Arial" w:hAnsi="Arial" w:cs="Arial"/>
                <w:vertAlign w:val="superscript"/>
              </w:rPr>
              <w:t>c</w:t>
            </w:r>
          </w:p>
        </w:tc>
      </w:tr>
      <w:tr w:rsidR="0065586D" w:rsidRPr="005B258F" w:rsidTr="00684D7A">
        <w:trPr>
          <w:gridAfter w:val="2"/>
          <w:wAfter w:w="212" w:type="dxa"/>
          <w:trHeight w:val="268"/>
        </w:trPr>
        <w:tc>
          <w:tcPr>
            <w:tcW w:w="3070"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T1- Fresh chicken dung infused with wood ash</w:t>
            </w:r>
          </w:p>
          <w:p w:rsidR="0065586D" w:rsidRPr="005B258F" w:rsidRDefault="0065586D" w:rsidP="00684D7A">
            <w:pPr>
              <w:spacing w:after="0" w:line="240" w:lineRule="auto"/>
              <w:jc w:val="center"/>
              <w:rPr>
                <w:rFonts w:ascii="Arial" w:hAnsi="Arial" w:cs="Arial"/>
              </w:rPr>
            </w:pPr>
            <w:r w:rsidRPr="005B258F">
              <w:rPr>
                <w:rFonts w:ascii="Arial" w:hAnsi="Arial" w:cs="Arial"/>
              </w:rPr>
              <w:t xml:space="preserve"> (50 g/pot at 1:1 ratio)</w:t>
            </w:r>
          </w:p>
          <w:p w:rsidR="0065586D" w:rsidRPr="005B258F" w:rsidRDefault="0065586D" w:rsidP="00684D7A">
            <w:pPr>
              <w:spacing w:after="0" w:line="240" w:lineRule="auto"/>
              <w:jc w:val="center"/>
              <w:rPr>
                <w:rFonts w:ascii="Arial" w:hAnsi="Arial" w:cs="Arial"/>
              </w:rPr>
            </w:pPr>
          </w:p>
        </w:tc>
        <w:tc>
          <w:tcPr>
            <w:tcW w:w="992"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4.43</w:t>
            </w:r>
            <w:r w:rsidRPr="005B258F">
              <w:rPr>
                <w:rFonts w:ascii="Arial" w:hAnsi="Arial" w:cs="Arial"/>
                <w:vertAlign w:val="superscript"/>
              </w:rPr>
              <w:t>bc</w:t>
            </w:r>
          </w:p>
        </w:tc>
        <w:tc>
          <w:tcPr>
            <w:tcW w:w="851"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7.87</w:t>
            </w:r>
            <w:r w:rsidRPr="005B258F">
              <w:rPr>
                <w:rFonts w:ascii="Arial" w:hAnsi="Arial" w:cs="Arial"/>
                <w:vertAlign w:val="superscript"/>
              </w:rPr>
              <w:t>b</w:t>
            </w:r>
          </w:p>
        </w:tc>
        <w:tc>
          <w:tcPr>
            <w:tcW w:w="937"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10.43</w:t>
            </w:r>
            <w:r w:rsidRPr="005B258F">
              <w:rPr>
                <w:rFonts w:ascii="Arial" w:hAnsi="Arial" w:cs="Arial"/>
                <w:vertAlign w:val="superscript"/>
              </w:rPr>
              <w:t>bc</w:t>
            </w:r>
          </w:p>
        </w:tc>
        <w:tc>
          <w:tcPr>
            <w:tcW w:w="906"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1.73</w:t>
            </w:r>
            <w:r w:rsidRPr="005B258F">
              <w:rPr>
                <w:rFonts w:ascii="Arial" w:hAnsi="Arial" w:cs="Arial"/>
                <w:vertAlign w:val="superscript"/>
              </w:rPr>
              <w:t>bc</w:t>
            </w:r>
          </w:p>
        </w:tc>
        <w:tc>
          <w:tcPr>
            <w:tcW w:w="850"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2.67</w:t>
            </w:r>
            <w:r w:rsidRPr="005B258F">
              <w:rPr>
                <w:rFonts w:ascii="Arial" w:hAnsi="Arial" w:cs="Arial"/>
                <w:vertAlign w:val="superscript"/>
              </w:rPr>
              <w:t>c</w:t>
            </w:r>
          </w:p>
        </w:tc>
        <w:tc>
          <w:tcPr>
            <w:tcW w:w="851"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4.27</w:t>
            </w:r>
            <w:r w:rsidRPr="005B258F">
              <w:rPr>
                <w:rFonts w:ascii="Arial" w:hAnsi="Arial" w:cs="Arial"/>
                <w:vertAlign w:val="superscript"/>
              </w:rPr>
              <w:t>d</w:t>
            </w:r>
          </w:p>
        </w:tc>
        <w:tc>
          <w:tcPr>
            <w:tcW w:w="1134"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164.67</w:t>
            </w:r>
            <w:r w:rsidRPr="005B258F">
              <w:rPr>
                <w:rFonts w:ascii="Arial" w:hAnsi="Arial" w:cs="Arial"/>
                <w:vertAlign w:val="superscript"/>
              </w:rPr>
              <w:t>c</w:t>
            </w:r>
          </w:p>
        </w:tc>
        <w:tc>
          <w:tcPr>
            <w:tcW w:w="939"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12.33</w:t>
            </w:r>
            <w:r w:rsidRPr="005B258F">
              <w:rPr>
                <w:rFonts w:ascii="Arial" w:hAnsi="Arial" w:cs="Arial"/>
                <w:vertAlign w:val="superscript"/>
              </w:rPr>
              <w:t>b</w:t>
            </w:r>
          </w:p>
        </w:tc>
        <w:tc>
          <w:tcPr>
            <w:tcW w:w="975"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10.93</w:t>
            </w:r>
            <w:r w:rsidRPr="005B258F">
              <w:rPr>
                <w:rFonts w:ascii="Arial" w:hAnsi="Arial" w:cs="Arial"/>
                <w:vertAlign w:val="superscript"/>
              </w:rPr>
              <w:t>ab</w:t>
            </w:r>
          </w:p>
        </w:tc>
      </w:tr>
      <w:tr w:rsidR="0065586D" w:rsidRPr="005B258F" w:rsidTr="00684D7A">
        <w:trPr>
          <w:gridAfter w:val="2"/>
          <w:wAfter w:w="212" w:type="dxa"/>
          <w:trHeight w:val="470"/>
        </w:trPr>
        <w:tc>
          <w:tcPr>
            <w:tcW w:w="3070"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 xml:space="preserve">T2- Fresh chicken dung infused with lime </w:t>
            </w:r>
          </w:p>
          <w:p w:rsidR="0065586D" w:rsidRPr="005B258F" w:rsidRDefault="0065586D" w:rsidP="00684D7A">
            <w:pPr>
              <w:spacing w:after="0" w:line="240" w:lineRule="auto"/>
              <w:jc w:val="center"/>
              <w:rPr>
                <w:rFonts w:ascii="Arial" w:hAnsi="Arial" w:cs="Arial"/>
              </w:rPr>
            </w:pPr>
            <w:r w:rsidRPr="005B258F">
              <w:rPr>
                <w:rFonts w:ascii="Arial" w:hAnsi="Arial" w:cs="Arial"/>
              </w:rPr>
              <w:t>(50 g/pot at 1:1 ratio)</w:t>
            </w:r>
          </w:p>
          <w:p w:rsidR="0065586D" w:rsidRPr="005B258F" w:rsidRDefault="0065586D" w:rsidP="00684D7A">
            <w:pPr>
              <w:spacing w:after="0" w:line="240" w:lineRule="auto"/>
              <w:jc w:val="center"/>
              <w:rPr>
                <w:rFonts w:ascii="Arial" w:hAnsi="Arial" w:cs="Arial"/>
              </w:rPr>
            </w:pPr>
          </w:p>
        </w:tc>
        <w:tc>
          <w:tcPr>
            <w:tcW w:w="992"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7.60</w:t>
            </w:r>
            <w:r w:rsidRPr="005B258F">
              <w:rPr>
                <w:rFonts w:ascii="Arial" w:hAnsi="Arial" w:cs="Arial"/>
                <w:vertAlign w:val="superscript"/>
              </w:rPr>
              <w:t>ab</w:t>
            </w:r>
          </w:p>
        </w:tc>
        <w:tc>
          <w:tcPr>
            <w:tcW w:w="851"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13.20</w:t>
            </w:r>
            <w:r w:rsidRPr="005B258F">
              <w:rPr>
                <w:rFonts w:ascii="Arial" w:hAnsi="Arial" w:cs="Arial"/>
                <w:vertAlign w:val="superscript"/>
              </w:rPr>
              <w:t>a</w:t>
            </w:r>
          </w:p>
        </w:tc>
        <w:tc>
          <w:tcPr>
            <w:tcW w:w="937"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20.63</w:t>
            </w:r>
            <w:r w:rsidRPr="005B258F">
              <w:rPr>
                <w:rFonts w:ascii="Arial" w:hAnsi="Arial" w:cs="Arial"/>
                <w:vertAlign w:val="superscript"/>
              </w:rPr>
              <w:t>a</w:t>
            </w:r>
          </w:p>
        </w:tc>
        <w:tc>
          <w:tcPr>
            <w:tcW w:w="906"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2.33</w:t>
            </w:r>
            <w:r w:rsidRPr="005B258F">
              <w:rPr>
                <w:rFonts w:ascii="Arial" w:hAnsi="Arial" w:cs="Arial"/>
                <w:vertAlign w:val="superscript"/>
              </w:rPr>
              <w:t>ab</w:t>
            </w:r>
          </w:p>
        </w:tc>
        <w:tc>
          <w:tcPr>
            <w:tcW w:w="850"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5.90</w:t>
            </w:r>
            <w:r w:rsidRPr="005B258F">
              <w:rPr>
                <w:rFonts w:ascii="Arial" w:hAnsi="Arial" w:cs="Arial"/>
                <w:vertAlign w:val="superscript"/>
              </w:rPr>
              <w:t>a</w:t>
            </w:r>
          </w:p>
        </w:tc>
        <w:tc>
          <w:tcPr>
            <w:tcW w:w="851"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8.10</w:t>
            </w:r>
            <w:r w:rsidRPr="005B258F">
              <w:rPr>
                <w:rFonts w:ascii="Arial" w:hAnsi="Arial" w:cs="Arial"/>
                <w:vertAlign w:val="superscript"/>
              </w:rPr>
              <w:t>a</w:t>
            </w:r>
          </w:p>
        </w:tc>
        <w:tc>
          <w:tcPr>
            <w:tcW w:w="1134"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323.33</w:t>
            </w:r>
            <w:r w:rsidRPr="005B258F">
              <w:rPr>
                <w:rFonts w:ascii="Arial" w:hAnsi="Arial" w:cs="Arial"/>
                <w:vertAlign w:val="superscript"/>
              </w:rPr>
              <w:t>a</w:t>
            </w:r>
          </w:p>
        </w:tc>
        <w:tc>
          <w:tcPr>
            <w:tcW w:w="939"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23.67</w:t>
            </w:r>
            <w:r w:rsidRPr="005B258F">
              <w:rPr>
                <w:rFonts w:ascii="Arial" w:hAnsi="Arial" w:cs="Arial"/>
                <w:vertAlign w:val="superscript"/>
              </w:rPr>
              <w:t>a</w:t>
            </w:r>
          </w:p>
        </w:tc>
        <w:tc>
          <w:tcPr>
            <w:tcW w:w="975"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11.67</w:t>
            </w:r>
            <w:r w:rsidRPr="005B258F">
              <w:rPr>
                <w:rFonts w:ascii="Arial" w:hAnsi="Arial" w:cs="Arial"/>
                <w:vertAlign w:val="superscript"/>
              </w:rPr>
              <w:t>a</w:t>
            </w:r>
          </w:p>
        </w:tc>
      </w:tr>
      <w:tr w:rsidR="0065586D" w:rsidRPr="005B258F" w:rsidTr="00684D7A">
        <w:trPr>
          <w:gridAfter w:val="2"/>
          <w:wAfter w:w="212" w:type="dxa"/>
          <w:trHeight w:val="470"/>
        </w:trPr>
        <w:tc>
          <w:tcPr>
            <w:tcW w:w="3070"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T3- Fresh chicken dung infused with biochar</w:t>
            </w:r>
          </w:p>
          <w:p w:rsidR="0065586D" w:rsidRPr="005B258F" w:rsidRDefault="0065586D" w:rsidP="00684D7A">
            <w:pPr>
              <w:spacing w:after="0" w:line="240" w:lineRule="auto"/>
              <w:jc w:val="center"/>
              <w:rPr>
                <w:rFonts w:ascii="Arial" w:hAnsi="Arial" w:cs="Arial"/>
              </w:rPr>
            </w:pPr>
            <w:r w:rsidRPr="005B258F">
              <w:rPr>
                <w:rFonts w:ascii="Arial" w:hAnsi="Arial" w:cs="Arial"/>
              </w:rPr>
              <w:t xml:space="preserve"> (50 g/pot at 1:1 ratio)</w:t>
            </w:r>
          </w:p>
          <w:p w:rsidR="0065586D" w:rsidRPr="005B258F" w:rsidRDefault="0065586D" w:rsidP="00684D7A">
            <w:pPr>
              <w:spacing w:after="0" w:line="240" w:lineRule="auto"/>
              <w:jc w:val="center"/>
              <w:rPr>
                <w:rFonts w:ascii="Arial" w:hAnsi="Arial" w:cs="Arial"/>
              </w:rPr>
            </w:pPr>
          </w:p>
        </w:tc>
        <w:tc>
          <w:tcPr>
            <w:tcW w:w="992"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5.40</w:t>
            </w:r>
            <w:r w:rsidRPr="005B258F">
              <w:rPr>
                <w:rFonts w:ascii="Arial" w:hAnsi="Arial" w:cs="Arial"/>
                <w:vertAlign w:val="superscript"/>
              </w:rPr>
              <w:t>abc</w:t>
            </w:r>
          </w:p>
        </w:tc>
        <w:tc>
          <w:tcPr>
            <w:tcW w:w="851"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8.37</w:t>
            </w:r>
            <w:r w:rsidRPr="005B258F">
              <w:rPr>
                <w:rFonts w:ascii="Arial" w:hAnsi="Arial" w:cs="Arial"/>
                <w:vertAlign w:val="superscript"/>
              </w:rPr>
              <w:t>b</w:t>
            </w:r>
          </w:p>
        </w:tc>
        <w:tc>
          <w:tcPr>
            <w:tcW w:w="937"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11</w:t>
            </w:r>
            <w:r w:rsidRPr="005B258F">
              <w:rPr>
                <w:rFonts w:ascii="Arial" w:hAnsi="Arial" w:cs="Arial"/>
                <w:vertAlign w:val="superscript"/>
              </w:rPr>
              <w:t>b</w:t>
            </w:r>
          </w:p>
        </w:tc>
        <w:tc>
          <w:tcPr>
            <w:tcW w:w="906"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2.03</w:t>
            </w:r>
            <w:r w:rsidRPr="005B258F">
              <w:rPr>
                <w:rFonts w:ascii="Arial" w:hAnsi="Arial" w:cs="Arial"/>
                <w:vertAlign w:val="superscript"/>
              </w:rPr>
              <w:t>ab</w:t>
            </w:r>
          </w:p>
        </w:tc>
        <w:tc>
          <w:tcPr>
            <w:tcW w:w="850"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4.57</w:t>
            </w:r>
            <w:r w:rsidRPr="005B258F">
              <w:rPr>
                <w:rFonts w:ascii="Arial" w:hAnsi="Arial" w:cs="Arial"/>
                <w:vertAlign w:val="superscript"/>
              </w:rPr>
              <w:t>b</w:t>
            </w:r>
          </w:p>
        </w:tc>
        <w:tc>
          <w:tcPr>
            <w:tcW w:w="851"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7.33</w:t>
            </w:r>
            <w:r w:rsidRPr="005B258F">
              <w:rPr>
                <w:rFonts w:ascii="Arial" w:hAnsi="Arial" w:cs="Arial"/>
                <w:vertAlign w:val="superscript"/>
              </w:rPr>
              <w:t>b</w:t>
            </w:r>
          </w:p>
        </w:tc>
        <w:tc>
          <w:tcPr>
            <w:tcW w:w="1134"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222.67</w:t>
            </w:r>
            <w:r w:rsidRPr="005B258F">
              <w:rPr>
                <w:rFonts w:ascii="Arial" w:hAnsi="Arial" w:cs="Arial"/>
                <w:vertAlign w:val="superscript"/>
              </w:rPr>
              <w:t>bc</w:t>
            </w:r>
          </w:p>
        </w:tc>
        <w:tc>
          <w:tcPr>
            <w:tcW w:w="939"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15.67</w:t>
            </w:r>
            <w:r w:rsidRPr="005B258F">
              <w:rPr>
                <w:rFonts w:ascii="Arial" w:hAnsi="Arial" w:cs="Arial"/>
                <w:vertAlign w:val="superscript"/>
              </w:rPr>
              <w:t>ab</w:t>
            </w:r>
          </w:p>
        </w:tc>
        <w:tc>
          <w:tcPr>
            <w:tcW w:w="975"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11.07</w:t>
            </w:r>
            <w:r w:rsidRPr="005B258F">
              <w:rPr>
                <w:rFonts w:ascii="Arial" w:hAnsi="Arial" w:cs="Arial"/>
                <w:vertAlign w:val="superscript"/>
              </w:rPr>
              <w:t>ab</w:t>
            </w:r>
          </w:p>
        </w:tc>
      </w:tr>
      <w:tr w:rsidR="0065586D" w:rsidRPr="005B258F" w:rsidTr="00684D7A">
        <w:trPr>
          <w:gridAfter w:val="2"/>
          <w:wAfter w:w="212" w:type="dxa"/>
          <w:trHeight w:val="459"/>
        </w:trPr>
        <w:tc>
          <w:tcPr>
            <w:tcW w:w="3070"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 xml:space="preserve">T4- Fresh chicken dung infused with zeolite </w:t>
            </w:r>
          </w:p>
          <w:p w:rsidR="0065586D" w:rsidRPr="005B258F" w:rsidRDefault="0065586D" w:rsidP="00684D7A">
            <w:pPr>
              <w:spacing w:after="0" w:line="240" w:lineRule="auto"/>
              <w:jc w:val="center"/>
              <w:rPr>
                <w:rFonts w:ascii="Arial" w:hAnsi="Arial" w:cs="Arial"/>
              </w:rPr>
            </w:pPr>
            <w:r w:rsidRPr="005B258F">
              <w:rPr>
                <w:rFonts w:ascii="Arial" w:hAnsi="Arial" w:cs="Arial"/>
              </w:rPr>
              <w:t>(50 g/pot at 1:1 ratio)</w:t>
            </w:r>
          </w:p>
          <w:p w:rsidR="0065586D" w:rsidRPr="005B258F" w:rsidRDefault="0065586D" w:rsidP="00684D7A">
            <w:pPr>
              <w:spacing w:after="0" w:line="240" w:lineRule="auto"/>
              <w:jc w:val="center"/>
              <w:rPr>
                <w:rFonts w:ascii="Arial" w:hAnsi="Arial" w:cs="Arial"/>
              </w:rPr>
            </w:pPr>
          </w:p>
        </w:tc>
        <w:tc>
          <w:tcPr>
            <w:tcW w:w="992"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8.07</w:t>
            </w:r>
            <w:r w:rsidRPr="005B258F">
              <w:rPr>
                <w:rFonts w:ascii="Arial" w:hAnsi="Arial" w:cs="Arial"/>
                <w:vertAlign w:val="superscript"/>
              </w:rPr>
              <w:t>a</w:t>
            </w:r>
          </w:p>
        </w:tc>
        <w:tc>
          <w:tcPr>
            <w:tcW w:w="851"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11.37</w:t>
            </w:r>
            <w:r w:rsidRPr="005B258F">
              <w:rPr>
                <w:rFonts w:ascii="Arial" w:hAnsi="Arial" w:cs="Arial"/>
                <w:vertAlign w:val="superscript"/>
              </w:rPr>
              <w:t>a</w:t>
            </w:r>
          </w:p>
        </w:tc>
        <w:tc>
          <w:tcPr>
            <w:tcW w:w="937"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18.63</w:t>
            </w:r>
            <w:r w:rsidRPr="005B258F">
              <w:rPr>
                <w:rFonts w:ascii="Arial" w:hAnsi="Arial" w:cs="Arial"/>
                <w:vertAlign w:val="superscript"/>
              </w:rPr>
              <w:t>a</w:t>
            </w:r>
          </w:p>
        </w:tc>
        <w:tc>
          <w:tcPr>
            <w:tcW w:w="906"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2.67</w:t>
            </w:r>
            <w:r w:rsidRPr="005B258F">
              <w:rPr>
                <w:rFonts w:ascii="Arial" w:hAnsi="Arial" w:cs="Arial"/>
                <w:vertAlign w:val="superscript"/>
              </w:rPr>
              <w:t>a</w:t>
            </w:r>
          </w:p>
        </w:tc>
        <w:tc>
          <w:tcPr>
            <w:tcW w:w="850" w:type="dxa"/>
            <w:gridSpan w:val="2"/>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4.37</w:t>
            </w:r>
            <w:r w:rsidRPr="005B258F">
              <w:rPr>
                <w:rFonts w:ascii="Arial" w:hAnsi="Arial" w:cs="Arial"/>
                <w:vertAlign w:val="superscript"/>
              </w:rPr>
              <w:t>b</w:t>
            </w:r>
          </w:p>
        </w:tc>
        <w:tc>
          <w:tcPr>
            <w:tcW w:w="851"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6.80</w:t>
            </w:r>
            <w:r w:rsidRPr="005B258F">
              <w:rPr>
                <w:rFonts w:ascii="Arial" w:hAnsi="Arial" w:cs="Arial"/>
                <w:vertAlign w:val="superscript"/>
              </w:rPr>
              <w:t>b</w:t>
            </w:r>
          </w:p>
        </w:tc>
        <w:tc>
          <w:tcPr>
            <w:tcW w:w="1134"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269</w:t>
            </w:r>
            <w:r w:rsidRPr="005B258F">
              <w:rPr>
                <w:rFonts w:ascii="Arial" w:hAnsi="Arial" w:cs="Arial"/>
                <w:vertAlign w:val="superscript"/>
              </w:rPr>
              <w:t>ab</w:t>
            </w:r>
          </w:p>
        </w:tc>
        <w:tc>
          <w:tcPr>
            <w:tcW w:w="939"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17.67</w:t>
            </w:r>
            <w:r w:rsidRPr="005B258F">
              <w:rPr>
                <w:rFonts w:ascii="Arial" w:hAnsi="Arial" w:cs="Arial"/>
                <w:vertAlign w:val="superscript"/>
              </w:rPr>
              <w:t>ab</w:t>
            </w:r>
          </w:p>
        </w:tc>
        <w:tc>
          <w:tcPr>
            <w:tcW w:w="975"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9.63</w:t>
            </w:r>
            <w:r w:rsidRPr="005B258F">
              <w:rPr>
                <w:rFonts w:ascii="Arial" w:hAnsi="Arial" w:cs="Arial"/>
                <w:vertAlign w:val="superscript"/>
              </w:rPr>
              <w:t>bc</w:t>
            </w:r>
          </w:p>
        </w:tc>
      </w:tr>
      <w:tr w:rsidR="0065586D" w:rsidRPr="005B258F" w:rsidTr="00684D7A">
        <w:trPr>
          <w:gridAfter w:val="2"/>
          <w:wAfter w:w="212" w:type="dxa"/>
          <w:trHeight w:val="700"/>
        </w:trPr>
        <w:tc>
          <w:tcPr>
            <w:tcW w:w="3070" w:type="dxa"/>
            <w:gridSpan w:val="2"/>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T5- Fresh chicken dung infused with aluminum</w:t>
            </w:r>
          </w:p>
          <w:p w:rsidR="0065586D" w:rsidRPr="005B258F" w:rsidRDefault="0065586D" w:rsidP="00684D7A">
            <w:pPr>
              <w:spacing w:after="0" w:line="240" w:lineRule="auto"/>
              <w:jc w:val="center"/>
              <w:rPr>
                <w:rFonts w:ascii="Arial" w:hAnsi="Arial" w:cs="Arial"/>
              </w:rPr>
            </w:pPr>
            <w:r w:rsidRPr="005B258F">
              <w:rPr>
                <w:rFonts w:ascii="Arial" w:hAnsi="Arial" w:cs="Arial"/>
              </w:rPr>
              <w:t xml:space="preserve">   sulfate (50 g/pot at 1:1 ratio)</w:t>
            </w:r>
          </w:p>
        </w:tc>
        <w:tc>
          <w:tcPr>
            <w:tcW w:w="992"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4.80</w:t>
            </w:r>
            <w:r w:rsidRPr="005B258F">
              <w:rPr>
                <w:rFonts w:ascii="Arial" w:hAnsi="Arial" w:cs="Arial"/>
                <w:vertAlign w:val="superscript"/>
              </w:rPr>
              <w:t>bc</w:t>
            </w:r>
          </w:p>
        </w:tc>
        <w:tc>
          <w:tcPr>
            <w:tcW w:w="851"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8.20</w:t>
            </w:r>
            <w:r w:rsidRPr="005B258F">
              <w:rPr>
                <w:rFonts w:ascii="Arial" w:hAnsi="Arial" w:cs="Arial"/>
                <w:vertAlign w:val="superscript"/>
              </w:rPr>
              <w:t>b</w:t>
            </w:r>
          </w:p>
        </w:tc>
        <w:tc>
          <w:tcPr>
            <w:tcW w:w="937"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10.97</w:t>
            </w:r>
            <w:r w:rsidRPr="005B258F">
              <w:rPr>
                <w:rFonts w:ascii="Arial" w:hAnsi="Arial" w:cs="Arial"/>
                <w:vertAlign w:val="superscript"/>
              </w:rPr>
              <w:t>b</w:t>
            </w:r>
          </w:p>
        </w:tc>
        <w:tc>
          <w:tcPr>
            <w:tcW w:w="906" w:type="dxa"/>
            <w:gridSpan w:val="2"/>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2.23</w:t>
            </w:r>
            <w:r w:rsidRPr="005B258F">
              <w:rPr>
                <w:rFonts w:ascii="Arial" w:hAnsi="Arial" w:cs="Arial"/>
                <w:vertAlign w:val="superscript"/>
              </w:rPr>
              <w:t>ab</w:t>
            </w:r>
          </w:p>
        </w:tc>
        <w:tc>
          <w:tcPr>
            <w:tcW w:w="850" w:type="dxa"/>
            <w:gridSpan w:val="2"/>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3.90</w:t>
            </w:r>
            <w:r w:rsidRPr="005B258F">
              <w:rPr>
                <w:rFonts w:ascii="Arial" w:hAnsi="Arial" w:cs="Arial"/>
                <w:vertAlign w:val="superscript"/>
              </w:rPr>
              <w:t>b</w:t>
            </w:r>
          </w:p>
        </w:tc>
        <w:tc>
          <w:tcPr>
            <w:tcW w:w="851"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5.53</w:t>
            </w:r>
            <w:r w:rsidRPr="005B258F">
              <w:rPr>
                <w:rFonts w:ascii="Arial" w:hAnsi="Arial" w:cs="Arial"/>
                <w:vertAlign w:val="superscript"/>
              </w:rPr>
              <w:t>c</w:t>
            </w:r>
          </w:p>
        </w:tc>
        <w:tc>
          <w:tcPr>
            <w:tcW w:w="1134"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259.67</w:t>
            </w:r>
            <w:r w:rsidRPr="005B258F">
              <w:rPr>
                <w:rFonts w:ascii="Arial" w:hAnsi="Arial" w:cs="Arial"/>
                <w:vertAlign w:val="superscript"/>
              </w:rPr>
              <w:t>ab</w:t>
            </w:r>
          </w:p>
        </w:tc>
        <w:tc>
          <w:tcPr>
            <w:tcW w:w="939"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21.33</w:t>
            </w:r>
            <w:r w:rsidRPr="005B258F">
              <w:rPr>
                <w:rFonts w:ascii="Arial" w:hAnsi="Arial" w:cs="Arial"/>
                <w:vertAlign w:val="superscript"/>
              </w:rPr>
              <w:t>ab</w:t>
            </w:r>
          </w:p>
        </w:tc>
        <w:tc>
          <w:tcPr>
            <w:tcW w:w="975"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10.97</w:t>
            </w:r>
            <w:r w:rsidRPr="005B258F">
              <w:rPr>
                <w:rFonts w:ascii="Arial" w:hAnsi="Arial" w:cs="Arial"/>
                <w:vertAlign w:val="superscript"/>
              </w:rPr>
              <w:t>ab</w:t>
            </w:r>
          </w:p>
          <w:p w:rsidR="0065586D" w:rsidRPr="005B258F" w:rsidRDefault="0065586D" w:rsidP="00684D7A">
            <w:pPr>
              <w:spacing w:after="0" w:line="240" w:lineRule="auto"/>
              <w:jc w:val="center"/>
              <w:rPr>
                <w:rFonts w:ascii="Arial" w:hAnsi="Arial" w:cs="Arial"/>
              </w:rPr>
            </w:pPr>
          </w:p>
        </w:tc>
      </w:tr>
      <w:tr w:rsidR="0065586D" w:rsidRPr="005B258F" w:rsidTr="00684D7A">
        <w:trPr>
          <w:gridAfter w:val="2"/>
          <w:wAfter w:w="212" w:type="dxa"/>
          <w:trHeight w:val="422"/>
        </w:trPr>
        <w:tc>
          <w:tcPr>
            <w:tcW w:w="3070" w:type="dxa"/>
            <w:gridSpan w:val="2"/>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rPr>
                <w:rFonts w:ascii="Arial" w:hAnsi="Arial" w:cs="Arial"/>
              </w:rPr>
            </w:pPr>
            <w:r w:rsidRPr="005B258F">
              <w:rPr>
                <w:rFonts w:ascii="Arial" w:hAnsi="Arial" w:cs="Arial"/>
              </w:rPr>
              <w:t xml:space="preserve"> CV%</w:t>
            </w:r>
          </w:p>
        </w:tc>
        <w:tc>
          <w:tcPr>
            <w:tcW w:w="992"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20.21</w:t>
            </w:r>
          </w:p>
        </w:tc>
        <w:tc>
          <w:tcPr>
            <w:tcW w:w="851"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7.66</w:t>
            </w:r>
          </w:p>
        </w:tc>
        <w:tc>
          <w:tcPr>
            <w:tcW w:w="937"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6.04</w:t>
            </w:r>
          </w:p>
        </w:tc>
        <w:tc>
          <w:tcPr>
            <w:tcW w:w="906" w:type="dxa"/>
            <w:gridSpan w:val="2"/>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11.78</w:t>
            </w:r>
          </w:p>
        </w:tc>
        <w:tc>
          <w:tcPr>
            <w:tcW w:w="850" w:type="dxa"/>
            <w:gridSpan w:val="2"/>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8.97</w:t>
            </w:r>
          </w:p>
        </w:tc>
        <w:tc>
          <w:tcPr>
            <w:tcW w:w="851"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3.79</w:t>
            </w:r>
          </w:p>
        </w:tc>
        <w:tc>
          <w:tcPr>
            <w:tcW w:w="1134"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14.99</w:t>
            </w:r>
          </w:p>
        </w:tc>
        <w:tc>
          <w:tcPr>
            <w:tcW w:w="939"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22.32</w:t>
            </w:r>
          </w:p>
        </w:tc>
        <w:tc>
          <w:tcPr>
            <w:tcW w:w="975" w:type="dxa"/>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6.02</w:t>
            </w:r>
          </w:p>
        </w:tc>
      </w:tr>
    </w:tbl>
    <w:p w:rsidR="0065586D" w:rsidRPr="005B258F" w:rsidRDefault="0065586D" w:rsidP="0065586D">
      <w:pPr>
        <w:spacing w:line="480" w:lineRule="auto"/>
        <w:jc w:val="both"/>
        <w:rPr>
          <w:rFonts w:ascii="Arial" w:hAnsi="Arial" w:cs="Arial"/>
          <w:sz w:val="20"/>
          <w:szCs w:val="20"/>
        </w:rPr>
      </w:pPr>
      <w:r w:rsidRPr="005B258F">
        <w:rPr>
          <w:rFonts w:ascii="Arial" w:hAnsi="Arial" w:cs="Arial"/>
          <w:sz w:val="20"/>
          <w:szCs w:val="20"/>
        </w:rPr>
        <w:br/>
        <w:t xml:space="preserve"> Although, infusing zeolite to fresh chicken dung is comparable to lime-infused chicken dung on several parameters in terms of plant height, fresh and dry weight, lime is cheaper (</w:t>
      </w:r>
      <w:r w:rsidRPr="005B258F">
        <w:rPr>
          <w:rFonts w:ascii="Arial" w:hAnsi="Arial" w:cs="Arial"/>
          <w:color w:val="040C28"/>
          <w:sz w:val="20"/>
          <w:szCs w:val="20"/>
          <w:highlight w:val="white"/>
        </w:rPr>
        <w:t>Php 16.00/kg)</w:t>
      </w:r>
      <w:r w:rsidRPr="005B258F">
        <w:rPr>
          <w:rFonts w:ascii="Arial" w:hAnsi="Arial" w:cs="Arial"/>
          <w:sz w:val="20"/>
          <w:szCs w:val="20"/>
        </w:rPr>
        <w:t xml:space="preserve"> and more available in the market than zeolite (</w:t>
      </w:r>
      <w:r w:rsidRPr="005B258F">
        <w:rPr>
          <w:rFonts w:ascii="Arial" w:hAnsi="Arial" w:cs="Arial"/>
          <w:color w:val="040C28"/>
          <w:sz w:val="20"/>
          <w:szCs w:val="20"/>
          <w:highlight w:val="white"/>
        </w:rPr>
        <w:t>Php 55.00/kg)</w:t>
      </w:r>
      <w:r w:rsidRPr="005B258F">
        <w:rPr>
          <w:rFonts w:ascii="Arial" w:hAnsi="Arial" w:cs="Arial"/>
          <w:sz w:val="20"/>
          <w:szCs w:val="20"/>
        </w:rPr>
        <w:t xml:space="preserve">. </w:t>
      </w:r>
    </w:p>
    <w:p w:rsidR="0065586D" w:rsidRPr="005B258F" w:rsidRDefault="0065586D" w:rsidP="0065586D">
      <w:pPr>
        <w:spacing w:line="480" w:lineRule="auto"/>
        <w:jc w:val="both"/>
        <w:rPr>
          <w:rFonts w:ascii="Arial" w:hAnsi="Arial" w:cs="Arial"/>
          <w:b/>
          <w:sz w:val="20"/>
          <w:szCs w:val="20"/>
        </w:rPr>
      </w:pPr>
    </w:p>
    <w:p w:rsidR="0065586D" w:rsidRPr="005B258F" w:rsidRDefault="0065586D" w:rsidP="0065586D">
      <w:pPr>
        <w:spacing w:line="480" w:lineRule="auto"/>
        <w:jc w:val="both"/>
        <w:rPr>
          <w:rFonts w:ascii="Arial" w:hAnsi="Arial" w:cs="Arial"/>
          <w:sz w:val="20"/>
          <w:szCs w:val="20"/>
        </w:rPr>
      </w:pPr>
      <w:r w:rsidRPr="005B258F">
        <w:rPr>
          <w:rFonts w:ascii="Arial" w:hAnsi="Arial" w:cs="Arial"/>
          <w:b/>
          <w:sz w:val="20"/>
          <w:szCs w:val="20"/>
        </w:rPr>
        <w:lastRenderedPageBreak/>
        <w:t>Phytochemical Characteristic</w:t>
      </w:r>
    </w:p>
    <w:p w:rsidR="0065586D" w:rsidRPr="005B258F" w:rsidRDefault="0065586D" w:rsidP="0065586D">
      <w:pPr>
        <w:spacing w:line="480" w:lineRule="auto"/>
        <w:jc w:val="both"/>
        <w:rPr>
          <w:rFonts w:ascii="Arial" w:hAnsi="Arial" w:cs="Arial"/>
          <w:sz w:val="20"/>
          <w:szCs w:val="20"/>
        </w:rPr>
      </w:pPr>
      <w:r w:rsidRPr="005B258F">
        <w:rPr>
          <w:rFonts w:ascii="Arial" w:hAnsi="Arial" w:cs="Arial"/>
          <w:sz w:val="20"/>
          <w:szCs w:val="20"/>
        </w:rPr>
        <w:tab/>
        <w:t>Table 2 indicates that the infusing aluminum sulfate into fresh chicken dung resulted in the highest levels of chlorophyll a</w:t>
      </w:r>
      <w:r>
        <w:rPr>
          <w:rFonts w:ascii="Arial" w:hAnsi="Arial" w:cs="Arial"/>
          <w:sz w:val="20"/>
          <w:szCs w:val="20"/>
        </w:rPr>
        <w:t xml:space="preserve"> content </w:t>
      </w:r>
      <w:r w:rsidRPr="005B258F">
        <w:rPr>
          <w:rFonts w:ascii="Arial" w:hAnsi="Arial" w:cs="Arial"/>
          <w:sz w:val="20"/>
          <w:szCs w:val="20"/>
        </w:rPr>
        <w:t xml:space="preserve">0.0055±0.0013SE mg/g of tissue and total chlorophyll 0.0105±0.0006SE mg/g of tissue, as well as total soluble solids content 4.23±0.48SE °Brix. These results conform to the findings of </w:t>
      </w:r>
      <w:proofErr w:type="spellStart"/>
      <w:r w:rsidRPr="005B258F">
        <w:rPr>
          <w:rFonts w:ascii="Arial" w:hAnsi="Arial" w:cs="Arial"/>
          <w:sz w:val="20"/>
          <w:szCs w:val="20"/>
        </w:rPr>
        <w:t>Jowkar</w:t>
      </w:r>
      <w:proofErr w:type="spellEnd"/>
      <w:r w:rsidRPr="005B258F">
        <w:rPr>
          <w:rFonts w:ascii="Arial" w:hAnsi="Arial" w:cs="Arial"/>
          <w:sz w:val="20"/>
          <w:szCs w:val="20"/>
        </w:rPr>
        <w:t xml:space="preserve"> </w:t>
      </w:r>
      <w:r w:rsidRPr="006127BE">
        <w:rPr>
          <w:rFonts w:ascii="Arial" w:hAnsi="Arial" w:cs="Arial"/>
          <w:i/>
          <w:sz w:val="20"/>
          <w:szCs w:val="20"/>
        </w:rPr>
        <w:t>et al</w:t>
      </w:r>
      <w:r w:rsidRPr="005B258F">
        <w:rPr>
          <w:rFonts w:ascii="Arial" w:hAnsi="Arial" w:cs="Arial"/>
          <w:sz w:val="20"/>
          <w:szCs w:val="20"/>
        </w:rPr>
        <w:t>.</w:t>
      </w:r>
      <w:r>
        <w:rPr>
          <w:rFonts w:ascii="Arial" w:hAnsi="Arial" w:cs="Arial"/>
          <w:sz w:val="20"/>
          <w:szCs w:val="20"/>
        </w:rPr>
        <w:t xml:space="preserve"> [21]</w:t>
      </w:r>
      <w:r w:rsidRPr="005B258F">
        <w:rPr>
          <w:rFonts w:ascii="Arial" w:hAnsi="Arial" w:cs="Arial"/>
          <w:sz w:val="20"/>
          <w:szCs w:val="20"/>
        </w:rPr>
        <w:t xml:space="preserve"> where aluminum sulfate increased leaf chlorophyll content of Cherry brandy rose. </w:t>
      </w:r>
    </w:p>
    <w:p w:rsidR="0065586D" w:rsidRPr="005B258F" w:rsidRDefault="0065586D" w:rsidP="0065586D">
      <w:pPr>
        <w:spacing w:line="480" w:lineRule="auto"/>
        <w:ind w:firstLine="720"/>
        <w:jc w:val="both"/>
        <w:rPr>
          <w:rFonts w:ascii="Arial" w:hAnsi="Arial" w:cs="Arial"/>
          <w:sz w:val="20"/>
          <w:szCs w:val="20"/>
        </w:rPr>
      </w:pPr>
      <w:r w:rsidRPr="005B258F">
        <w:rPr>
          <w:rFonts w:ascii="Arial" w:hAnsi="Arial" w:cs="Arial"/>
          <w:sz w:val="20"/>
          <w:szCs w:val="20"/>
        </w:rPr>
        <w:t xml:space="preserve">Conversely, infusing wood ash yielded the highest chlorophyll b content 0.0079±0.0002SE mg/g. This result corresponds to the study of </w:t>
      </w:r>
      <w:proofErr w:type="spellStart"/>
      <w:r w:rsidRPr="005B258F">
        <w:rPr>
          <w:rFonts w:ascii="Arial" w:hAnsi="Arial" w:cs="Arial"/>
          <w:sz w:val="20"/>
          <w:szCs w:val="20"/>
        </w:rPr>
        <w:t>Bonfim</w:t>
      </w:r>
      <w:proofErr w:type="spellEnd"/>
      <w:r w:rsidRPr="005B258F">
        <w:rPr>
          <w:rFonts w:ascii="Arial" w:hAnsi="Arial" w:cs="Arial"/>
          <w:sz w:val="20"/>
          <w:szCs w:val="20"/>
        </w:rPr>
        <w:t xml:space="preserve">-Silva </w:t>
      </w:r>
      <w:r w:rsidRPr="006127BE">
        <w:rPr>
          <w:rFonts w:ascii="Arial" w:hAnsi="Arial" w:cs="Arial"/>
          <w:i/>
          <w:sz w:val="20"/>
          <w:szCs w:val="20"/>
        </w:rPr>
        <w:t>et al</w:t>
      </w:r>
      <w:r w:rsidRPr="005B258F">
        <w:rPr>
          <w:rFonts w:ascii="Arial" w:hAnsi="Arial" w:cs="Arial"/>
          <w:sz w:val="20"/>
          <w:szCs w:val="20"/>
        </w:rPr>
        <w:t>.</w:t>
      </w:r>
      <w:r>
        <w:rPr>
          <w:rFonts w:ascii="Arial" w:hAnsi="Arial" w:cs="Arial"/>
          <w:sz w:val="20"/>
          <w:szCs w:val="20"/>
        </w:rPr>
        <w:t xml:space="preserve"> [22]</w:t>
      </w:r>
      <w:r w:rsidRPr="005B258F">
        <w:rPr>
          <w:rFonts w:ascii="Arial" w:hAnsi="Arial" w:cs="Arial"/>
          <w:sz w:val="20"/>
          <w:szCs w:val="20"/>
        </w:rPr>
        <w:t xml:space="preserve"> where it was found out that the application of wood ash with mineral fertilizers (</w:t>
      </w:r>
      <w:proofErr w:type="spellStart"/>
      <w:r w:rsidRPr="005B258F">
        <w:rPr>
          <w:rFonts w:ascii="Arial" w:hAnsi="Arial" w:cs="Arial"/>
          <w:sz w:val="20"/>
          <w:szCs w:val="20"/>
        </w:rPr>
        <w:t>organomineral</w:t>
      </w:r>
      <w:proofErr w:type="spellEnd"/>
      <w:r w:rsidRPr="005B258F">
        <w:rPr>
          <w:rFonts w:ascii="Arial" w:hAnsi="Arial" w:cs="Arial"/>
          <w:sz w:val="20"/>
          <w:szCs w:val="20"/>
        </w:rPr>
        <w:t xml:space="preserve">) </w:t>
      </w:r>
      <w:r w:rsidRPr="00EE72F2">
        <w:rPr>
          <w:rFonts w:ascii="Arial" w:hAnsi="Arial" w:cs="Arial"/>
          <w:strike/>
          <w:sz w:val="20"/>
          <w:szCs w:val="20"/>
          <w:highlight w:val="red"/>
        </w:rPr>
        <w:t>give</w:t>
      </w:r>
      <w:r w:rsidRPr="005B258F">
        <w:rPr>
          <w:rFonts w:ascii="Arial" w:hAnsi="Arial" w:cs="Arial"/>
          <w:sz w:val="20"/>
          <w:szCs w:val="20"/>
        </w:rPr>
        <w:t xml:space="preserve"> </w:t>
      </w:r>
      <w:r w:rsidRPr="00EE72F2">
        <w:rPr>
          <w:rFonts w:ascii="Arial" w:hAnsi="Arial" w:cs="Arial"/>
          <w:sz w:val="20"/>
          <w:szCs w:val="20"/>
          <w:highlight w:val="yellow"/>
        </w:rPr>
        <w:t>gave</w:t>
      </w:r>
      <w:r>
        <w:rPr>
          <w:rFonts w:ascii="Arial" w:hAnsi="Arial" w:cs="Arial"/>
          <w:sz w:val="20"/>
          <w:szCs w:val="20"/>
        </w:rPr>
        <w:t xml:space="preserve"> </w:t>
      </w:r>
      <w:r w:rsidRPr="005B258F">
        <w:rPr>
          <w:rFonts w:ascii="Arial" w:hAnsi="Arial" w:cs="Arial"/>
          <w:sz w:val="20"/>
          <w:szCs w:val="20"/>
        </w:rPr>
        <w:t>a significant and positive effect on the development of chlorophyll index of Arugula culture. It was again the treatment with fresh chicken dung alone that produced the lowest levels of chlorophyll and total soluble solids content. </w:t>
      </w:r>
    </w:p>
    <w:tbl>
      <w:tblPr>
        <w:tblStyle w:val="Style14"/>
        <w:tblW w:w="10760"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268"/>
        <w:gridCol w:w="1843"/>
        <w:gridCol w:w="1823"/>
        <w:gridCol w:w="1140"/>
      </w:tblGrid>
      <w:tr w:rsidR="0065586D" w:rsidRPr="005B258F" w:rsidTr="00684D7A">
        <w:trPr>
          <w:jc w:val="center"/>
        </w:trPr>
        <w:tc>
          <w:tcPr>
            <w:tcW w:w="10760" w:type="dxa"/>
            <w:gridSpan w:val="5"/>
            <w:tcBorders>
              <w:top w:val="nil"/>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ind w:left="-675" w:firstLine="675"/>
              <w:rPr>
                <w:rFonts w:ascii="Arial" w:hAnsi="Arial" w:cs="Arial"/>
                <w:b/>
              </w:rPr>
            </w:pPr>
            <w:r w:rsidRPr="005B258F">
              <w:rPr>
                <w:rFonts w:ascii="Arial" w:hAnsi="Arial" w:cs="Arial"/>
                <w:b/>
              </w:rPr>
              <w:t xml:space="preserve">Table 2: Phytochemical Response of </w:t>
            </w:r>
            <w:r w:rsidRPr="005B258F">
              <w:rPr>
                <w:rFonts w:ascii="Arial" w:hAnsi="Arial" w:cs="Arial"/>
                <w:b/>
                <w:i/>
              </w:rPr>
              <w:t>Coriandrum sativum</w:t>
            </w:r>
            <w:r>
              <w:rPr>
                <w:rFonts w:ascii="Arial" w:hAnsi="Arial" w:cs="Arial"/>
                <w:b/>
              </w:rPr>
              <w:t xml:space="preserve"> as affected by </w:t>
            </w:r>
            <w:r w:rsidRPr="005B258F">
              <w:rPr>
                <w:rFonts w:ascii="Arial" w:hAnsi="Arial" w:cs="Arial"/>
                <w:b/>
              </w:rPr>
              <w:t xml:space="preserve">Anti-ammonia amendment infused in Fresh </w:t>
            </w:r>
            <w:r>
              <w:rPr>
                <w:rFonts w:ascii="Arial" w:hAnsi="Arial" w:cs="Arial"/>
                <w:b/>
              </w:rPr>
              <w:tab/>
            </w:r>
            <w:r>
              <w:rPr>
                <w:rFonts w:ascii="Arial" w:hAnsi="Arial" w:cs="Arial"/>
                <w:b/>
              </w:rPr>
              <w:tab/>
            </w:r>
            <w:r w:rsidRPr="005B258F">
              <w:rPr>
                <w:rFonts w:ascii="Arial" w:hAnsi="Arial" w:cs="Arial"/>
                <w:b/>
              </w:rPr>
              <w:t xml:space="preserve">Chicken Dung. </w:t>
            </w:r>
          </w:p>
        </w:tc>
      </w:tr>
      <w:tr w:rsidR="0065586D" w:rsidRPr="005B258F" w:rsidTr="00684D7A">
        <w:trPr>
          <w:jc w:val="center"/>
        </w:trPr>
        <w:tc>
          <w:tcPr>
            <w:tcW w:w="3686"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p>
          <w:p w:rsidR="0065586D" w:rsidRPr="005B258F" w:rsidRDefault="0065586D" w:rsidP="00684D7A">
            <w:pPr>
              <w:spacing w:after="0" w:line="240" w:lineRule="auto"/>
              <w:jc w:val="center"/>
              <w:rPr>
                <w:rFonts w:ascii="Arial" w:hAnsi="Arial" w:cs="Arial"/>
                <w:b/>
              </w:rPr>
            </w:pPr>
            <w:r w:rsidRPr="005B258F">
              <w:rPr>
                <w:rFonts w:ascii="Arial" w:hAnsi="Arial" w:cs="Arial"/>
                <w:b/>
              </w:rPr>
              <w:t>Treatments</w:t>
            </w:r>
          </w:p>
        </w:tc>
        <w:tc>
          <w:tcPr>
            <w:tcW w:w="2268"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Chlorophyll a</w:t>
            </w:r>
          </w:p>
          <w:p w:rsidR="0065586D" w:rsidRPr="005B258F" w:rsidRDefault="0065586D" w:rsidP="00684D7A">
            <w:pPr>
              <w:spacing w:after="0" w:line="240" w:lineRule="auto"/>
              <w:jc w:val="center"/>
              <w:rPr>
                <w:rFonts w:ascii="Arial" w:hAnsi="Arial" w:cs="Arial"/>
                <w:b/>
              </w:rPr>
            </w:pPr>
            <w:r w:rsidRPr="005B258F">
              <w:rPr>
                <w:rFonts w:ascii="Arial" w:hAnsi="Arial" w:cs="Arial"/>
                <w:b/>
              </w:rPr>
              <w:t>(mg/g of tissue)</w:t>
            </w:r>
          </w:p>
        </w:tc>
        <w:tc>
          <w:tcPr>
            <w:tcW w:w="1843"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Chlorophyll b</w:t>
            </w:r>
          </w:p>
          <w:p w:rsidR="0065586D" w:rsidRPr="005B258F" w:rsidRDefault="0065586D" w:rsidP="00684D7A">
            <w:pPr>
              <w:spacing w:after="0" w:line="240" w:lineRule="auto"/>
              <w:jc w:val="center"/>
              <w:rPr>
                <w:rFonts w:ascii="Arial" w:hAnsi="Arial" w:cs="Arial"/>
                <w:b/>
              </w:rPr>
            </w:pPr>
            <w:r w:rsidRPr="005B258F">
              <w:rPr>
                <w:rFonts w:ascii="Arial" w:hAnsi="Arial" w:cs="Arial"/>
                <w:b/>
              </w:rPr>
              <w:t>(mg/g of tissue)</w:t>
            </w:r>
          </w:p>
        </w:tc>
        <w:tc>
          <w:tcPr>
            <w:tcW w:w="1823"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Total Chlorophyll (mg/g of tissue)</w:t>
            </w:r>
          </w:p>
        </w:tc>
        <w:tc>
          <w:tcPr>
            <w:tcW w:w="1140" w:type="dxa"/>
            <w:tcBorders>
              <w:top w:val="single" w:sz="12" w:space="0" w:color="000000"/>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b/>
              </w:rPr>
            </w:pPr>
            <w:r w:rsidRPr="005B258F">
              <w:rPr>
                <w:rFonts w:ascii="Arial" w:hAnsi="Arial" w:cs="Arial"/>
                <w:b/>
              </w:rPr>
              <w:t>TSS</w:t>
            </w:r>
          </w:p>
        </w:tc>
      </w:tr>
      <w:tr w:rsidR="0065586D" w:rsidRPr="005B258F" w:rsidTr="00684D7A">
        <w:trPr>
          <w:jc w:val="center"/>
        </w:trPr>
        <w:tc>
          <w:tcPr>
            <w:tcW w:w="3686"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76" w:lineRule="auto"/>
              <w:jc w:val="center"/>
              <w:rPr>
                <w:rFonts w:ascii="Arial" w:hAnsi="Arial" w:cs="Arial"/>
              </w:rPr>
            </w:pPr>
            <w:r w:rsidRPr="005B258F">
              <w:rPr>
                <w:rFonts w:ascii="Arial" w:hAnsi="Arial" w:cs="Arial"/>
              </w:rPr>
              <w:t>T0- Fresh chicken dung alone</w:t>
            </w:r>
          </w:p>
        </w:tc>
        <w:tc>
          <w:tcPr>
            <w:tcW w:w="2268"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0.0016</w:t>
            </w:r>
            <w:r w:rsidRPr="005B258F">
              <w:rPr>
                <w:rFonts w:ascii="Arial" w:hAnsi="Arial" w:cs="Arial"/>
                <w:vertAlign w:val="superscript"/>
              </w:rPr>
              <w:t>e</w:t>
            </w:r>
          </w:p>
        </w:tc>
        <w:tc>
          <w:tcPr>
            <w:tcW w:w="1843"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0.0038</w:t>
            </w:r>
            <w:r w:rsidRPr="005B258F">
              <w:rPr>
                <w:rFonts w:ascii="Arial" w:hAnsi="Arial" w:cs="Arial"/>
                <w:vertAlign w:val="superscript"/>
              </w:rPr>
              <w:t>c</w:t>
            </w:r>
          </w:p>
        </w:tc>
        <w:tc>
          <w:tcPr>
            <w:tcW w:w="1823"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0.0054</w:t>
            </w:r>
            <w:r w:rsidRPr="005B258F">
              <w:rPr>
                <w:rFonts w:ascii="Arial" w:hAnsi="Arial" w:cs="Arial"/>
                <w:vertAlign w:val="superscript"/>
              </w:rPr>
              <w:t>c</w:t>
            </w:r>
          </w:p>
        </w:tc>
        <w:tc>
          <w:tcPr>
            <w:tcW w:w="1140" w:type="dxa"/>
            <w:tcBorders>
              <w:top w:val="single" w:sz="12" w:space="0" w:color="000000"/>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2.73</w:t>
            </w:r>
          </w:p>
        </w:tc>
      </w:tr>
      <w:tr w:rsidR="0065586D" w:rsidRPr="005B258F" w:rsidTr="00684D7A">
        <w:trPr>
          <w:jc w:val="center"/>
        </w:trPr>
        <w:tc>
          <w:tcPr>
            <w:tcW w:w="3686"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76" w:lineRule="auto"/>
              <w:jc w:val="center"/>
              <w:rPr>
                <w:rFonts w:ascii="Arial" w:hAnsi="Arial" w:cs="Arial"/>
              </w:rPr>
            </w:pPr>
            <w:r w:rsidRPr="005B258F">
              <w:rPr>
                <w:rFonts w:ascii="Arial" w:hAnsi="Arial" w:cs="Arial"/>
              </w:rPr>
              <w:t>T1- Fresh chicken dung infused with wood ash (50 g/pot at 1:1 ratio)</w:t>
            </w:r>
          </w:p>
        </w:tc>
        <w:tc>
          <w:tcPr>
            <w:tcW w:w="2268"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0.0023</w:t>
            </w:r>
            <w:r w:rsidRPr="005B258F">
              <w:rPr>
                <w:rFonts w:ascii="Arial" w:hAnsi="Arial" w:cs="Arial"/>
                <w:vertAlign w:val="superscript"/>
              </w:rPr>
              <w:t>d</w:t>
            </w:r>
          </w:p>
        </w:tc>
        <w:tc>
          <w:tcPr>
            <w:tcW w:w="1843"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0.0079</w:t>
            </w:r>
            <w:r w:rsidRPr="005B258F">
              <w:rPr>
                <w:rFonts w:ascii="Arial" w:hAnsi="Arial" w:cs="Arial"/>
                <w:vertAlign w:val="superscript"/>
              </w:rPr>
              <w:t>a</w:t>
            </w:r>
          </w:p>
        </w:tc>
        <w:tc>
          <w:tcPr>
            <w:tcW w:w="1823"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0.0102</w:t>
            </w:r>
            <w:r w:rsidRPr="005B258F">
              <w:rPr>
                <w:rFonts w:ascii="Arial" w:hAnsi="Arial" w:cs="Arial"/>
                <w:vertAlign w:val="superscript"/>
              </w:rPr>
              <w:t>a</w:t>
            </w:r>
          </w:p>
        </w:tc>
        <w:tc>
          <w:tcPr>
            <w:tcW w:w="1140"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2.93</w:t>
            </w:r>
          </w:p>
        </w:tc>
      </w:tr>
      <w:tr w:rsidR="0065586D" w:rsidRPr="005B258F" w:rsidTr="00684D7A">
        <w:trPr>
          <w:jc w:val="center"/>
        </w:trPr>
        <w:tc>
          <w:tcPr>
            <w:tcW w:w="3686"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76" w:lineRule="auto"/>
              <w:jc w:val="center"/>
              <w:rPr>
                <w:rFonts w:ascii="Arial" w:hAnsi="Arial" w:cs="Arial"/>
              </w:rPr>
            </w:pPr>
            <w:r w:rsidRPr="005B258F">
              <w:rPr>
                <w:rFonts w:ascii="Arial" w:hAnsi="Arial" w:cs="Arial"/>
              </w:rPr>
              <w:t>T2- Fresh chicken dung infused with lime (50 g/pot at 1:1 ratio)</w:t>
            </w:r>
          </w:p>
        </w:tc>
        <w:tc>
          <w:tcPr>
            <w:tcW w:w="2268"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0.0028</w:t>
            </w:r>
            <w:r w:rsidRPr="005B258F">
              <w:rPr>
                <w:rFonts w:ascii="Arial" w:hAnsi="Arial" w:cs="Arial"/>
                <w:vertAlign w:val="superscript"/>
              </w:rPr>
              <w:t>c</w:t>
            </w:r>
          </w:p>
        </w:tc>
        <w:tc>
          <w:tcPr>
            <w:tcW w:w="1843"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0.0056</w:t>
            </w:r>
            <w:r w:rsidRPr="005B258F">
              <w:rPr>
                <w:rFonts w:ascii="Arial" w:hAnsi="Arial" w:cs="Arial"/>
                <w:vertAlign w:val="superscript"/>
              </w:rPr>
              <w:t>b</w:t>
            </w:r>
          </w:p>
        </w:tc>
        <w:tc>
          <w:tcPr>
            <w:tcW w:w="1823"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0.0084</w:t>
            </w:r>
            <w:r w:rsidRPr="005B258F">
              <w:rPr>
                <w:rFonts w:ascii="Arial" w:hAnsi="Arial" w:cs="Arial"/>
                <w:vertAlign w:val="superscript"/>
              </w:rPr>
              <w:t>b</w:t>
            </w:r>
          </w:p>
        </w:tc>
        <w:tc>
          <w:tcPr>
            <w:tcW w:w="1140"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3.83</w:t>
            </w:r>
          </w:p>
        </w:tc>
      </w:tr>
      <w:tr w:rsidR="0065586D" w:rsidRPr="005B258F" w:rsidTr="00684D7A">
        <w:trPr>
          <w:jc w:val="center"/>
        </w:trPr>
        <w:tc>
          <w:tcPr>
            <w:tcW w:w="3686"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76" w:lineRule="auto"/>
              <w:jc w:val="center"/>
              <w:rPr>
                <w:rFonts w:ascii="Arial" w:hAnsi="Arial" w:cs="Arial"/>
              </w:rPr>
            </w:pPr>
            <w:r w:rsidRPr="005B258F">
              <w:rPr>
                <w:rFonts w:ascii="Arial" w:hAnsi="Arial" w:cs="Arial"/>
              </w:rPr>
              <w:t>T3- Fresh chicken dung infused with biochar (50 g/pot at 1:1 ratio)</w:t>
            </w:r>
          </w:p>
        </w:tc>
        <w:tc>
          <w:tcPr>
            <w:tcW w:w="2268"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0.0043</w:t>
            </w:r>
            <w:r w:rsidRPr="005B258F">
              <w:rPr>
                <w:rFonts w:ascii="Arial" w:hAnsi="Arial" w:cs="Arial"/>
                <w:vertAlign w:val="superscript"/>
              </w:rPr>
              <w:t>b</w:t>
            </w:r>
          </w:p>
        </w:tc>
        <w:tc>
          <w:tcPr>
            <w:tcW w:w="1843"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0.0054</w:t>
            </w:r>
            <w:r w:rsidRPr="005B258F">
              <w:rPr>
                <w:rFonts w:ascii="Arial" w:hAnsi="Arial" w:cs="Arial"/>
                <w:vertAlign w:val="superscript"/>
              </w:rPr>
              <w:t>b</w:t>
            </w:r>
          </w:p>
        </w:tc>
        <w:tc>
          <w:tcPr>
            <w:tcW w:w="1823"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0.0097</w:t>
            </w:r>
            <w:r w:rsidRPr="005B258F">
              <w:rPr>
                <w:rFonts w:ascii="Arial" w:hAnsi="Arial" w:cs="Arial"/>
                <w:vertAlign w:val="superscript"/>
              </w:rPr>
              <w:t>ab</w:t>
            </w:r>
          </w:p>
        </w:tc>
        <w:tc>
          <w:tcPr>
            <w:tcW w:w="1140"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3.53</w:t>
            </w:r>
          </w:p>
        </w:tc>
      </w:tr>
      <w:tr w:rsidR="0065586D" w:rsidRPr="005B258F" w:rsidTr="00684D7A">
        <w:trPr>
          <w:jc w:val="center"/>
        </w:trPr>
        <w:tc>
          <w:tcPr>
            <w:tcW w:w="3686"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76" w:lineRule="auto"/>
              <w:jc w:val="center"/>
              <w:rPr>
                <w:rFonts w:ascii="Arial" w:hAnsi="Arial" w:cs="Arial"/>
              </w:rPr>
            </w:pPr>
            <w:r w:rsidRPr="005B258F">
              <w:rPr>
                <w:rFonts w:ascii="Arial" w:hAnsi="Arial" w:cs="Arial"/>
              </w:rPr>
              <w:t>T4- Fresh chicken dung infused with zeolite (50 g/pot at 1:1 ratio)</w:t>
            </w:r>
          </w:p>
        </w:tc>
        <w:tc>
          <w:tcPr>
            <w:tcW w:w="2268"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0.0040</w:t>
            </w:r>
            <w:r w:rsidRPr="005B258F">
              <w:rPr>
                <w:rFonts w:ascii="Arial" w:hAnsi="Arial" w:cs="Arial"/>
                <w:vertAlign w:val="superscript"/>
              </w:rPr>
              <w:t>b</w:t>
            </w:r>
          </w:p>
        </w:tc>
        <w:tc>
          <w:tcPr>
            <w:tcW w:w="1843"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0.0051</w:t>
            </w:r>
            <w:r w:rsidRPr="005B258F">
              <w:rPr>
                <w:rFonts w:ascii="Arial" w:hAnsi="Arial" w:cs="Arial"/>
                <w:vertAlign w:val="superscript"/>
              </w:rPr>
              <w:t>bc</w:t>
            </w:r>
          </w:p>
        </w:tc>
        <w:tc>
          <w:tcPr>
            <w:tcW w:w="1823"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0.0092</w:t>
            </w:r>
            <w:r w:rsidRPr="005B258F">
              <w:rPr>
                <w:rFonts w:ascii="Arial" w:hAnsi="Arial" w:cs="Arial"/>
                <w:vertAlign w:val="superscript"/>
              </w:rPr>
              <w:t>ab</w:t>
            </w:r>
          </w:p>
        </w:tc>
        <w:tc>
          <w:tcPr>
            <w:tcW w:w="1140" w:type="dxa"/>
            <w:tcBorders>
              <w:top w:val="nil"/>
              <w:left w:val="nil"/>
              <w:bottom w:val="nil"/>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3.40</w:t>
            </w:r>
          </w:p>
        </w:tc>
      </w:tr>
      <w:tr w:rsidR="0065586D" w:rsidRPr="005B258F" w:rsidTr="00684D7A">
        <w:trPr>
          <w:jc w:val="center"/>
        </w:trPr>
        <w:tc>
          <w:tcPr>
            <w:tcW w:w="3686" w:type="dxa"/>
            <w:tcBorders>
              <w:top w:val="nil"/>
              <w:left w:val="nil"/>
              <w:bottom w:val="single" w:sz="4" w:space="0" w:color="auto"/>
              <w:right w:val="nil"/>
            </w:tcBorders>
            <w:tcMar>
              <w:top w:w="0" w:type="dxa"/>
              <w:left w:w="108" w:type="dxa"/>
              <w:bottom w:w="0" w:type="dxa"/>
              <w:right w:w="108" w:type="dxa"/>
            </w:tcMar>
          </w:tcPr>
          <w:p w:rsidR="0065586D" w:rsidRPr="005B258F" w:rsidRDefault="0065586D" w:rsidP="00684D7A">
            <w:pPr>
              <w:spacing w:after="0" w:line="276" w:lineRule="auto"/>
              <w:jc w:val="center"/>
              <w:rPr>
                <w:rFonts w:ascii="Arial" w:hAnsi="Arial" w:cs="Arial"/>
              </w:rPr>
            </w:pPr>
            <w:r w:rsidRPr="005B258F">
              <w:rPr>
                <w:rFonts w:ascii="Arial" w:hAnsi="Arial" w:cs="Arial"/>
              </w:rPr>
              <w:t>T5- Fresh chicken dung infused with aluminum sulfate (50 g/pot at 1:1 ratio)</w:t>
            </w:r>
          </w:p>
        </w:tc>
        <w:tc>
          <w:tcPr>
            <w:tcW w:w="2268" w:type="dxa"/>
            <w:tcBorders>
              <w:top w:val="nil"/>
              <w:left w:val="nil"/>
              <w:bottom w:val="single" w:sz="4" w:space="0" w:color="auto"/>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0.0055</w:t>
            </w:r>
            <w:r w:rsidRPr="005B258F">
              <w:rPr>
                <w:rFonts w:ascii="Arial" w:hAnsi="Arial" w:cs="Arial"/>
                <w:vertAlign w:val="superscript"/>
              </w:rPr>
              <w:t>a</w:t>
            </w:r>
          </w:p>
        </w:tc>
        <w:tc>
          <w:tcPr>
            <w:tcW w:w="1843" w:type="dxa"/>
            <w:tcBorders>
              <w:top w:val="nil"/>
              <w:left w:val="nil"/>
              <w:bottom w:val="single" w:sz="4" w:space="0" w:color="auto"/>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vertAlign w:val="superscript"/>
              </w:rPr>
            </w:pPr>
            <w:r w:rsidRPr="005B258F">
              <w:rPr>
                <w:rFonts w:ascii="Arial" w:hAnsi="Arial" w:cs="Arial"/>
              </w:rPr>
              <w:t>0.0050</w:t>
            </w:r>
            <w:r w:rsidRPr="005B258F">
              <w:rPr>
                <w:rFonts w:ascii="Arial" w:hAnsi="Arial" w:cs="Arial"/>
                <w:vertAlign w:val="superscript"/>
              </w:rPr>
              <w:t>bc</w:t>
            </w:r>
          </w:p>
        </w:tc>
        <w:tc>
          <w:tcPr>
            <w:tcW w:w="1823" w:type="dxa"/>
            <w:tcBorders>
              <w:top w:val="nil"/>
              <w:left w:val="nil"/>
              <w:bottom w:val="single" w:sz="4" w:space="0" w:color="auto"/>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0.0105</w:t>
            </w:r>
            <w:r w:rsidRPr="005B258F">
              <w:rPr>
                <w:rFonts w:ascii="Arial" w:hAnsi="Arial" w:cs="Arial"/>
                <w:vertAlign w:val="superscript"/>
              </w:rPr>
              <w:t>a</w:t>
            </w:r>
          </w:p>
        </w:tc>
        <w:tc>
          <w:tcPr>
            <w:tcW w:w="1140" w:type="dxa"/>
            <w:tcBorders>
              <w:top w:val="nil"/>
              <w:left w:val="nil"/>
              <w:bottom w:val="single" w:sz="4" w:space="0" w:color="auto"/>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4.23</w:t>
            </w:r>
          </w:p>
        </w:tc>
      </w:tr>
      <w:tr w:rsidR="0065586D" w:rsidRPr="005B258F" w:rsidTr="00684D7A">
        <w:trPr>
          <w:jc w:val="center"/>
        </w:trPr>
        <w:tc>
          <w:tcPr>
            <w:tcW w:w="3686" w:type="dxa"/>
            <w:tcBorders>
              <w:top w:val="single" w:sz="4" w:space="0" w:color="auto"/>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both"/>
              <w:rPr>
                <w:rFonts w:ascii="Arial" w:hAnsi="Arial" w:cs="Arial"/>
              </w:rPr>
            </w:pPr>
            <w:r w:rsidRPr="005B258F">
              <w:rPr>
                <w:rFonts w:ascii="Arial" w:hAnsi="Arial" w:cs="Arial"/>
              </w:rPr>
              <w:t xml:space="preserve">   CV%</w:t>
            </w:r>
          </w:p>
        </w:tc>
        <w:tc>
          <w:tcPr>
            <w:tcW w:w="2268" w:type="dxa"/>
            <w:tcBorders>
              <w:top w:val="single" w:sz="4" w:space="0" w:color="auto"/>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3.12</w:t>
            </w:r>
          </w:p>
        </w:tc>
        <w:tc>
          <w:tcPr>
            <w:tcW w:w="1843" w:type="dxa"/>
            <w:tcBorders>
              <w:top w:val="single" w:sz="4" w:space="0" w:color="auto"/>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9.05</w:t>
            </w:r>
          </w:p>
        </w:tc>
        <w:tc>
          <w:tcPr>
            <w:tcW w:w="1823" w:type="dxa"/>
            <w:tcBorders>
              <w:top w:val="single" w:sz="4" w:space="0" w:color="auto"/>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6.32</w:t>
            </w:r>
          </w:p>
        </w:tc>
        <w:tc>
          <w:tcPr>
            <w:tcW w:w="1140" w:type="dxa"/>
            <w:tcBorders>
              <w:top w:val="single" w:sz="4" w:space="0" w:color="auto"/>
              <w:left w:val="nil"/>
              <w:bottom w:val="single" w:sz="12" w:space="0" w:color="000000"/>
              <w:right w:val="nil"/>
            </w:tcBorders>
            <w:tcMar>
              <w:top w:w="0" w:type="dxa"/>
              <w:left w:w="108" w:type="dxa"/>
              <w:bottom w:w="0" w:type="dxa"/>
              <w:right w:w="108" w:type="dxa"/>
            </w:tcMar>
          </w:tcPr>
          <w:p w:rsidR="0065586D" w:rsidRPr="005B258F" w:rsidRDefault="0065586D" w:rsidP="00684D7A">
            <w:pPr>
              <w:spacing w:after="0" w:line="240" w:lineRule="auto"/>
              <w:jc w:val="center"/>
              <w:rPr>
                <w:rFonts w:ascii="Arial" w:hAnsi="Arial" w:cs="Arial"/>
              </w:rPr>
            </w:pPr>
            <w:r w:rsidRPr="005B258F">
              <w:rPr>
                <w:rFonts w:ascii="Arial" w:hAnsi="Arial" w:cs="Arial"/>
              </w:rPr>
              <w:t>20.72</w:t>
            </w:r>
          </w:p>
        </w:tc>
      </w:tr>
    </w:tbl>
    <w:p w:rsidR="0065586D" w:rsidRPr="005B258F" w:rsidRDefault="0065586D" w:rsidP="0065586D">
      <w:pPr>
        <w:spacing w:line="480" w:lineRule="auto"/>
        <w:jc w:val="center"/>
        <w:rPr>
          <w:rFonts w:ascii="Arial" w:hAnsi="Arial" w:cs="Arial"/>
          <w:b/>
          <w:sz w:val="20"/>
          <w:szCs w:val="20"/>
        </w:rPr>
      </w:pPr>
    </w:p>
    <w:p w:rsidR="0065586D" w:rsidRPr="005B258F" w:rsidRDefault="0065586D" w:rsidP="0065586D">
      <w:pPr>
        <w:spacing w:line="480" w:lineRule="auto"/>
        <w:jc w:val="center"/>
        <w:rPr>
          <w:rFonts w:ascii="Arial" w:hAnsi="Arial" w:cs="Arial"/>
          <w:b/>
          <w:sz w:val="20"/>
          <w:szCs w:val="20"/>
        </w:rPr>
      </w:pPr>
      <w:r w:rsidRPr="005B258F">
        <w:rPr>
          <w:rFonts w:ascii="Arial" w:hAnsi="Arial" w:cs="Arial"/>
          <w:b/>
          <w:sz w:val="20"/>
          <w:szCs w:val="20"/>
        </w:rPr>
        <w:t>CONCLUSION</w:t>
      </w:r>
    </w:p>
    <w:p w:rsidR="0065586D" w:rsidRDefault="0065586D" w:rsidP="0065586D">
      <w:pPr>
        <w:spacing w:line="480" w:lineRule="auto"/>
        <w:jc w:val="both"/>
        <w:rPr>
          <w:rFonts w:ascii="Arial" w:hAnsi="Arial" w:cs="Arial"/>
          <w:sz w:val="20"/>
          <w:szCs w:val="20"/>
        </w:rPr>
      </w:pPr>
      <w:r w:rsidRPr="005B258F">
        <w:rPr>
          <w:rFonts w:ascii="Arial" w:hAnsi="Arial" w:cs="Arial"/>
          <w:sz w:val="20"/>
          <w:szCs w:val="20"/>
        </w:rPr>
        <w:t xml:space="preserve">Lime infusion in fresh chicken dung improves growth and increases the biomass of Coriander. Aluminum sulfate infusion, on the other hand, enhanced chlorophyll and TSS content. These infusions allow the use of fresh chicken dung which would otherwise be composted for a month prior to fertilization. </w:t>
      </w:r>
    </w:p>
    <w:p w:rsidR="0065586D" w:rsidRPr="00225286" w:rsidRDefault="0065586D" w:rsidP="0065586D">
      <w:pPr>
        <w:spacing w:line="480" w:lineRule="auto"/>
        <w:jc w:val="both"/>
        <w:rPr>
          <w:rFonts w:ascii="Arial" w:hAnsi="Arial" w:cs="Arial"/>
          <w:sz w:val="20"/>
          <w:szCs w:val="20"/>
        </w:rPr>
      </w:pPr>
    </w:p>
    <w:p w:rsidR="0065586D" w:rsidRPr="00EE72F2" w:rsidRDefault="0065586D" w:rsidP="0065586D">
      <w:pPr>
        <w:spacing w:line="480" w:lineRule="auto"/>
        <w:jc w:val="center"/>
        <w:rPr>
          <w:rFonts w:ascii="Arial" w:hAnsi="Arial" w:cs="Arial"/>
          <w:b/>
          <w:strike/>
          <w:sz w:val="20"/>
          <w:szCs w:val="20"/>
          <w:highlight w:val="red"/>
        </w:rPr>
      </w:pPr>
      <w:r w:rsidRPr="00EE72F2">
        <w:rPr>
          <w:rFonts w:ascii="Arial" w:hAnsi="Arial" w:cs="Arial"/>
          <w:b/>
          <w:strike/>
          <w:sz w:val="20"/>
          <w:szCs w:val="20"/>
          <w:highlight w:val="red"/>
        </w:rPr>
        <w:lastRenderedPageBreak/>
        <w:t>REFERENCES</w:t>
      </w: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Samuelsson, Marcus. 2003. Aquavit: And the New Scandinavian Cuisine. Houghton Mifflin. Harcourt.P.12 (of 312). </w:t>
      </w: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proofErr w:type="spellStart"/>
      <w:proofErr w:type="gramStart"/>
      <w:r w:rsidRPr="00EE72F2">
        <w:rPr>
          <w:rFonts w:ascii="Arial" w:hAnsi="Arial" w:cs="Arial"/>
          <w:strike/>
          <w:sz w:val="20"/>
          <w:szCs w:val="20"/>
          <w:highlight w:val="red"/>
        </w:rPr>
        <w:t>Bhat,S</w:t>
      </w:r>
      <w:proofErr w:type="spellEnd"/>
      <w:r w:rsidRPr="00EE72F2">
        <w:rPr>
          <w:rFonts w:ascii="Arial" w:hAnsi="Arial" w:cs="Arial"/>
          <w:strike/>
          <w:sz w:val="20"/>
          <w:szCs w:val="20"/>
          <w:highlight w:val="red"/>
        </w:rPr>
        <w:t>.</w:t>
      </w:r>
      <w:proofErr w:type="gramEnd"/>
      <w:r w:rsidRPr="00EE72F2">
        <w:rPr>
          <w:rFonts w:ascii="Arial" w:hAnsi="Arial" w:cs="Arial"/>
          <w:strike/>
          <w:sz w:val="20"/>
          <w:szCs w:val="20"/>
          <w:highlight w:val="red"/>
        </w:rPr>
        <w:t xml:space="preserve">, </w:t>
      </w:r>
      <w:proofErr w:type="spellStart"/>
      <w:r w:rsidRPr="00EE72F2">
        <w:rPr>
          <w:rFonts w:ascii="Arial" w:hAnsi="Arial" w:cs="Arial"/>
          <w:strike/>
          <w:sz w:val="20"/>
          <w:szCs w:val="20"/>
          <w:highlight w:val="red"/>
        </w:rPr>
        <w:t>P.Kauhal</w:t>
      </w:r>
      <w:proofErr w:type="spellEnd"/>
      <w:r w:rsidRPr="00EE72F2">
        <w:rPr>
          <w:rFonts w:ascii="Arial" w:hAnsi="Arial" w:cs="Arial"/>
          <w:strike/>
          <w:sz w:val="20"/>
          <w:szCs w:val="20"/>
          <w:highlight w:val="red"/>
        </w:rPr>
        <w:t>, M. Kaur and H.K. Sharm. 2014. Coriander Processing, nutritional and functional aspects. 64: 1264–1273.</w:t>
      </w:r>
    </w:p>
    <w:p w:rsidR="0065586D" w:rsidRPr="00EE72F2" w:rsidRDefault="0065586D" w:rsidP="0065586D">
      <w:pPr>
        <w:pStyle w:val="ListParagraph"/>
        <w:rPr>
          <w:rFonts w:ascii="Arial" w:hAnsi="Arial" w:cs="Arial"/>
          <w:strike/>
          <w:sz w:val="20"/>
          <w:szCs w:val="20"/>
          <w:highlight w:val="red"/>
        </w:rPr>
      </w:pP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 xml:space="preserve">Nadeem, M., Muhammad Anjum, F., Issa Khan, M., </w:t>
      </w:r>
      <w:proofErr w:type="spellStart"/>
      <w:r w:rsidRPr="00EE72F2">
        <w:rPr>
          <w:rFonts w:ascii="Arial" w:hAnsi="Arial" w:cs="Arial"/>
          <w:strike/>
          <w:sz w:val="20"/>
          <w:szCs w:val="20"/>
          <w:highlight w:val="red"/>
        </w:rPr>
        <w:t>Tehseen</w:t>
      </w:r>
      <w:proofErr w:type="spellEnd"/>
      <w:r w:rsidRPr="00EE72F2">
        <w:rPr>
          <w:rFonts w:ascii="Arial" w:hAnsi="Arial" w:cs="Arial"/>
          <w:strike/>
          <w:sz w:val="20"/>
          <w:szCs w:val="20"/>
          <w:highlight w:val="red"/>
        </w:rPr>
        <w:t>, S., El</w:t>
      </w:r>
      <w:r w:rsidRPr="00EE72F2">
        <w:rPr>
          <w:rFonts w:ascii="Cambria Math" w:hAnsi="Cambria Math" w:cs="Cambria Math"/>
          <w:strike/>
          <w:sz w:val="20"/>
          <w:szCs w:val="20"/>
          <w:highlight w:val="red"/>
        </w:rPr>
        <w:t>‐</w:t>
      </w:r>
      <w:proofErr w:type="spellStart"/>
      <w:r w:rsidRPr="00EE72F2">
        <w:rPr>
          <w:rFonts w:ascii="Arial" w:hAnsi="Arial" w:cs="Arial"/>
          <w:strike/>
          <w:sz w:val="20"/>
          <w:szCs w:val="20"/>
          <w:highlight w:val="red"/>
        </w:rPr>
        <w:t>Ghorab</w:t>
      </w:r>
      <w:proofErr w:type="spellEnd"/>
      <w:r w:rsidRPr="00EE72F2">
        <w:rPr>
          <w:rFonts w:ascii="Arial" w:hAnsi="Arial" w:cs="Arial"/>
          <w:strike/>
          <w:sz w:val="20"/>
          <w:szCs w:val="20"/>
          <w:highlight w:val="red"/>
        </w:rPr>
        <w:t>, A., &amp;amp; Iqbal Sultan, J. (2013). Nutritional and medicinal aspects of coriander (Coriandrum sativum L.) A review. British Food Journal, 115(5), 743-755.</w:t>
      </w: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 xml:space="preserve">Arifin, B., Bono, A., &amp;amp; </w:t>
      </w:r>
      <w:proofErr w:type="spellStart"/>
      <w:r w:rsidRPr="00EE72F2">
        <w:rPr>
          <w:rFonts w:ascii="Arial" w:hAnsi="Arial" w:cs="Arial"/>
          <w:strike/>
          <w:sz w:val="20"/>
          <w:szCs w:val="20"/>
          <w:highlight w:val="red"/>
        </w:rPr>
        <w:t>Janaun</w:t>
      </w:r>
      <w:proofErr w:type="spellEnd"/>
      <w:r w:rsidRPr="00EE72F2">
        <w:rPr>
          <w:rFonts w:ascii="Arial" w:hAnsi="Arial" w:cs="Arial"/>
          <w:strike/>
          <w:sz w:val="20"/>
          <w:szCs w:val="20"/>
          <w:highlight w:val="red"/>
        </w:rPr>
        <w:t xml:space="preserve">, J. (2006). The transformation of chicken manure into mineralized organic fertilizer. J. Sustain. Sci. </w:t>
      </w:r>
      <w:proofErr w:type="spellStart"/>
      <w:r w:rsidRPr="00EE72F2">
        <w:rPr>
          <w:rFonts w:ascii="Arial" w:hAnsi="Arial" w:cs="Arial"/>
          <w:strike/>
          <w:sz w:val="20"/>
          <w:szCs w:val="20"/>
          <w:highlight w:val="red"/>
        </w:rPr>
        <w:t>Manag</w:t>
      </w:r>
      <w:proofErr w:type="spellEnd"/>
      <w:r w:rsidRPr="00EE72F2">
        <w:rPr>
          <w:rFonts w:ascii="Arial" w:hAnsi="Arial" w:cs="Arial"/>
          <w:strike/>
          <w:sz w:val="20"/>
          <w:szCs w:val="20"/>
          <w:highlight w:val="red"/>
        </w:rPr>
        <w:t>, 1(1), 58-63.</w:t>
      </w:r>
    </w:p>
    <w:p w:rsidR="0065586D" w:rsidRPr="00EE72F2" w:rsidRDefault="0065586D" w:rsidP="0065586D">
      <w:pPr>
        <w:pStyle w:val="ListParagraph"/>
        <w:rPr>
          <w:rFonts w:ascii="Arial" w:hAnsi="Arial" w:cs="Arial"/>
          <w:strike/>
          <w:sz w:val="20"/>
          <w:szCs w:val="20"/>
          <w:highlight w:val="red"/>
        </w:rPr>
      </w:pP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 xml:space="preserve">Wang, Y. C., Han, M. F., Jia, T. P., Hu, X. R., Zhu, H. Q., Tong, Z., ... &amp;amp; </w:t>
      </w:r>
      <w:proofErr w:type="spellStart"/>
      <w:r w:rsidRPr="00EE72F2">
        <w:rPr>
          <w:rFonts w:ascii="Arial" w:hAnsi="Arial" w:cs="Arial"/>
          <w:strike/>
          <w:sz w:val="20"/>
          <w:szCs w:val="20"/>
          <w:highlight w:val="red"/>
        </w:rPr>
        <w:t>Hsi</w:t>
      </w:r>
      <w:proofErr w:type="spellEnd"/>
      <w:r w:rsidRPr="00EE72F2">
        <w:rPr>
          <w:rFonts w:ascii="Arial" w:hAnsi="Arial" w:cs="Arial"/>
          <w:strike/>
          <w:sz w:val="20"/>
          <w:szCs w:val="20"/>
          <w:highlight w:val="red"/>
        </w:rPr>
        <w:t>, H. C. (2021). Emissions, measurement, and control of odor in livestock farms: A review. Science of The Total Environment, 776, 145735.</w:t>
      </w: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bCs/>
          <w:strike/>
          <w:sz w:val="20"/>
          <w:szCs w:val="20"/>
          <w:highlight w:val="red"/>
        </w:rPr>
      </w:pPr>
      <w:proofErr w:type="spellStart"/>
      <w:r w:rsidRPr="00EE72F2">
        <w:rPr>
          <w:rFonts w:ascii="Arial" w:hAnsi="Arial" w:cs="Arial"/>
          <w:bCs/>
          <w:strike/>
          <w:sz w:val="20"/>
          <w:szCs w:val="20"/>
          <w:highlight w:val="red"/>
        </w:rPr>
        <w:t>Alesna</w:t>
      </w:r>
      <w:proofErr w:type="spellEnd"/>
      <w:r w:rsidRPr="00EE72F2">
        <w:rPr>
          <w:rFonts w:ascii="Arial" w:hAnsi="Arial" w:cs="Arial"/>
          <w:bCs/>
          <w:strike/>
          <w:sz w:val="20"/>
          <w:szCs w:val="20"/>
          <w:highlight w:val="red"/>
        </w:rPr>
        <w:t xml:space="preserve">, R. J. G., &amp; Lina, S. B. (2022). Chicken manure application and liming enhanced the soil chemical properties of </w:t>
      </w:r>
      <w:proofErr w:type="spellStart"/>
      <w:r w:rsidRPr="00EE72F2">
        <w:rPr>
          <w:rFonts w:ascii="Arial" w:hAnsi="Arial" w:cs="Arial"/>
          <w:bCs/>
          <w:strike/>
          <w:sz w:val="20"/>
          <w:szCs w:val="20"/>
          <w:highlight w:val="red"/>
        </w:rPr>
        <w:t>andisols</w:t>
      </w:r>
      <w:proofErr w:type="spellEnd"/>
      <w:r w:rsidRPr="00EE72F2">
        <w:rPr>
          <w:rFonts w:ascii="Arial" w:hAnsi="Arial" w:cs="Arial"/>
          <w:bCs/>
          <w:strike/>
          <w:sz w:val="20"/>
          <w:szCs w:val="20"/>
          <w:highlight w:val="red"/>
        </w:rPr>
        <w:t>. </w:t>
      </w:r>
      <w:r w:rsidRPr="00EE72F2">
        <w:rPr>
          <w:rFonts w:ascii="Arial" w:hAnsi="Arial" w:cs="Arial"/>
          <w:bCs/>
          <w:i/>
          <w:iCs/>
          <w:strike/>
          <w:sz w:val="20"/>
          <w:szCs w:val="20"/>
          <w:highlight w:val="red"/>
        </w:rPr>
        <w:t>Journal of Agriculture and Technology Management (JATM)</w:t>
      </w:r>
      <w:r w:rsidRPr="00EE72F2">
        <w:rPr>
          <w:rFonts w:ascii="Arial" w:hAnsi="Arial" w:cs="Arial"/>
          <w:bCs/>
          <w:strike/>
          <w:sz w:val="20"/>
          <w:szCs w:val="20"/>
          <w:highlight w:val="red"/>
        </w:rPr>
        <w:t>, </w:t>
      </w:r>
      <w:r w:rsidRPr="00EE72F2">
        <w:rPr>
          <w:rFonts w:ascii="Arial" w:hAnsi="Arial" w:cs="Arial"/>
          <w:bCs/>
          <w:i/>
          <w:iCs/>
          <w:strike/>
          <w:sz w:val="20"/>
          <w:szCs w:val="20"/>
          <w:highlight w:val="red"/>
        </w:rPr>
        <w:t>25</w:t>
      </w:r>
      <w:r w:rsidRPr="00EE72F2">
        <w:rPr>
          <w:rFonts w:ascii="Arial" w:hAnsi="Arial" w:cs="Arial"/>
          <w:bCs/>
          <w:strike/>
          <w:sz w:val="20"/>
          <w:szCs w:val="20"/>
          <w:highlight w:val="red"/>
        </w:rPr>
        <w:t>(1), 102-109.</w:t>
      </w:r>
    </w:p>
    <w:p w:rsidR="0065586D" w:rsidRPr="00EE72F2" w:rsidRDefault="0065586D" w:rsidP="0065586D">
      <w:pPr>
        <w:pStyle w:val="ListParagraph"/>
        <w:rPr>
          <w:rFonts w:ascii="Arial" w:hAnsi="Arial" w:cs="Arial"/>
          <w:bCs/>
          <w:strike/>
          <w:sz w:val="20"/>
          <w:szCs w:val="20"/>
          <w:highlight w:val="red"/>
        </w:rPr>
      </w:pPr>
    </w:p>
    <w:p w:rsidR="0065586D" w:rsidRPr="00EE72F2" w:rsidRDefault="0065586D" w:rsidP="0065586D">
      <w:pPr>
        <w:pStyle w:val="ListParagraph"/>
        <w:spacing w:line="480" w:lineRule="auto"/>
        <w:jc w:val="both"/>
        <w:rPr>
          <w:rFonts w:ascii="Arial" w:hAnsi="Arial" w:cs="Arial"/>
          <w:bCs/>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 xml:space="preserve">Zhang L, Zhao B W, Li R </w:t>
      </w:r>
      <w:proofErr w:type="spellStart"/>
      <w:r w:rsidRPr="00EE72F2">
        <w:rPr>
          <w:rFonts w:ascii="Arial" w:hAnsi="Arial" w:cs="Arial"/>
          <w:strike/>
          <w:sz w:val="20"/>
          <w:szCs w:val="20"/>
          <w:highlight w:val="red"/>
        </w:rPr>
        <w:t>R</w:t>
      </w:r>
      <w:proofErr w:type="spellEnd"/>
      <w:r w:rsidRPr="00EE72F2">
        <w:rPr>
          <w:rFonts w:ascii="Arial" w:hAnsi="Arial" w:cs="Arial"/>
          <w:strike/>
          <w:sz w:val="20"/>
          <w:szCs w:val="20"/>
          <w:highlight w:val="red"/>
        </w:rPr>
        <w:t>. Research Progress of Soil Amelioration with Zeolite[J]. Environment Science and Management, 2012, 37 (1): 39-43.</w:t>
      </w: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lastRenderedPageBreak/>
        <w:t>Xu G H. The mechanism of the improvement of soil with natural zeolite[J]. Conservation and Utilization of Mineral Resources, 2003, (5): 18-20.</w:t>
      </w:r>
    </w:p>
    <w:p w:rsidR="0065586D" w:rsidRPr="00EE72F2" w:rsidRDefault="0065586D" w:rsidP="0065586D">
      <w:pPr>
        <w:pStyle w:val="ListParagraph"/>
        <w:rPr>
          <w:rFonts w:ascii="Arial" w:hAnsi="Arial" w:cs="Arial"/>
          <w:strike/>
          <w:sz w:val="20"/>
          <w:szCs w:val="20"/>
          <w:highlight w:val="red"/>
        </w:rPr>
      </w:pP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Li C H, Li H X, Zhang X M. Effects of natural zeolite on soil properties and nutrient efficiency[J]. Soil and Environment. 2000, 9(2): 163-165.</w:t>
      </w: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Kong X Q, Yuan J. Study on the role of natural zeolite in the improvement of greenhouse soil [J]. China Non-metallic Minerals Industry, 2005, 246: 31-37.</w:t>
      </w:r>
    </w:p>
    <w:p w:rsidR="0065586D" w:rsidRPr="00EE72F2" w:rsidRDefault="0065586D" w:rsidP="0065586D">
      <w:pPr>
        <w:pStyle w:val="ListParagraph"/>
        <w:rPr>
          <w:rFonts w:ascii="Arial" w:hAnsi="Arial" w:cs="Arial"/>
          <w:strike/>
          <w:sz w:val="20"/>
          <w:szCs w:val="20"/>
          <w:highlight w:val="red"/>
        </w:rPr>
      </w:pP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 xml:space="preserve">Qi N, Sun X Y, Zhang T </w:t>
      </w:r>
      <w:proofErr w:type="spellStart"/>
      <w:r w:rsidRPr="00EE72F2">
        <w:rPr>
          <w:rFonts w:ascii="Arial" w:hAnsi="Arial" w:cs="Arial"/>
          <w:strike/>
          <w:sz w:val="20"/>
          <w:szCs w:val="20"/>
          <w:highlight w:val="red"/>
        </w:rPr>
        <w:t>T</w:t>
      </w:r>
      <w:proofErr w:type="spellEnd"/>
      <w:r w:rsidRPr="00EE72F2">
        <w:rPr>
          <w:rFonts w:ascii="Arial" w:hAnsi="Arial" w:cs="Arial"/>
          <w:strike/>
          <w:sz w:val="20"/>
          <w:szCs w:val="20"/>
          <w:highlight w:val="red"/>
        </w:rPr>
        <w:t>. Advances in the application of zeolite in soil improvement and pollution control[J]. Guizhou Agricultural Sciences, 2011, 39 (11): 133-135.</w:t>
      </w: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 xml:space="preserve">Jiang X F, Sun X. Research progress of natural zeolite in soil improvement and fertilizer production [J]. </w:t>
      </w:r>
      <w:proofErr w:type="spellStart"/>
      <w:r w:rsidRPr="00EE72F2">
        <w:rPr>
          <w:rFonts w:ascii="Arial" w:hAnsi="Arial" w:cs="Arial"/>
          <w:strike/>
          <w:sz w:val="20"/>
          <w:szCs w:val="20"/>
          <w:highlight w:val="red"/>
        </w:rPr>
        <w:t>Pratacultural</w:t>
      </w:r>
      <w:proofErr w:type="spellEnd"/>
      <w:r w:rsidRPr="00EE72F2">
        <w:rPr>
          <w:rFonts w:ascii="Arial" w:hAnsi="Arial" w:cs="Arial"/>
          <w:strike/>
          <w:sz w:val="20"/>
          <w:szCs w:val="20"/>
          <w:highlight w:val="red"/>
        </w:rPr>
        <w:t xml:space="preserve"> Science, 2004, 21(4): 48-51.</w:t>
      </w:r>
    </w:p>
    <w:p w:rsidR="0065586D" w:rsidRPr="00EE72F2" w:rsidRDefault="0065586D" w:rsidP="0065586D">
      <w:pPr>
        <w:pStyle w:val="ListParagraph"/>
        <w:rPr>
          <w:rFonts w:ascii="Arial" w:hAnsi="Arial" w:cs="Arial"/>
          <w:strike/>
          <w:sz w:val="20"/>
          <w:szCs w:val="20"/>
          <w:highlight w:val="red"/>
        </w:rPr>
      </w:pP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bCs/>
          <w:strike/>
          <w:sz w:val="20"/>
          <w:szCs w:val="20"/>
          <w:highlight w:val="red"/>
        </w:rPr>
      </w:pPr>
      <w:proofErr w:type="spellStart"/>
      <w:r w:rsidRPr="00EE72F2">
        <w:rPr>
          <w:rFonts w:ascii="Arial" w:hAnsi="Arial" w:cs="Arial"/>
          <w:bCs/>
          <w:strike/>
          <w:sz w:val="20"/>
          <w:szCs w:val="20"/>
          <w:highlight w:val="red"/>
        </w:rPr>
        <w:t>Agbede</w:t>
      </w:r>
      <w:proofErr w:type="spellEnd"/>
      <w:r w:rsidRPr="00EE72F2">
        <w:rPr>
          <w:rFonts w:ascii="Arial" w:hAnsi="Arial" w:cs="Arial"/>
          <w:bCs/>
          <w:strike/>
          <w:sz w:val="20"/>
          <w:szCs w:val="20"/>
          <w:highlight w:val="red"/>
        </w:rPr>
        <w:t>, T. M., &amp;</w:t>
      </w:r>
      <w:proofErr w:type="spellStart"/>
      <w:r w:rsidRPr="00EE72F2">
        <w:rPr>
          <w:rFonts w:ascii="Arial" w:hAnsi="Arial" w:cs="Arial"/>
          <w:bCs/>
          <w:strike/>
          <w:sz w:val="20"/>
          <w:szCs w:val="20"/>
          <w:highlight w:val="red"/>
        </w:rPr>
        <w:t>Adekiya</w:t>
      </w:r>
      <w:proofErr w:type="spellEnd"/>
      <w:r w:rsidRPr="00EE72F2">
        <w:rPr>
          <w:rFonts w:ascii="Arial" w:hAnsi="Arial" w:cs="Arial"/>
          <w:bCs/>
          <w:strike/>
          <w:sz w:val="20"/>
          <w:szCs w:val="20"/>
          <w:highlight w:val="red"/>
        </w:rPr>
        <w:t xml:space="preserve">, A. O. (2012). Effect of wood ash, poultry manure and NPK fertilizer on soil and leaf nutrient composition, growth and yield of okra (Abelmoschus </w:t>
      </w:r>
      <w:proofErr w:type="spellStart"/>
      <w:r w:rsidRPr="00EE72F2">
        <w:rPr>
          <w:rFonts w:ascii="Arial" w:hAnsi="Arial" w:cs="Arial"/>
          <w:bCs/>
          <w:strike/>
          <w:sz w:val="20"/>
          <w:szCs w:val="20"/>
          <w:highlight w:val="red"/>
        </w:rPr>
        <w:t>esculentus</w:t>
      </w:r>
      <w:proofErr w:type="spellEnd"/>
      <w:r w:rsidRPr="00EE72F2">
        <w:rPr>
          <w:rFonts w:ascii="Arial" w:hAnsi="Arial" w:cs="Arial"/>
          <w:bCs/>
          <w:strike/>
          <w:sz w:val="20"/>
          <w:szCs w:val="20"/>
          <w:highlight w:val="red"/>
        </w:rPr>
        <w:t>. </w:t>
      </w:r>
      <w:r w:rsidRPr="00EE72F2">
        <w:rPr>
          <w:rFonts w:ascii="Arial" w:hAnsi="Arial" w:cs="Arial"/>
          <w:bCs/>
          <w:i/>
          <w:iCs/>
          <w:strike/>
          <w:sz w:val="20"/>
          <w:szCs w:val="20"/>
          <w:highlight w:val="red"/>
        </w:rPr>
        <w:t>Emir. J. Food Agric</w:t>
      </w:r>
      <w:r w:rsidRPr="00EE72F2">
        <w:rPr>
          <w:rFonts w:ascii="Arial" w:hAnsi="Arial" w:cs="Arial"/>
          <w:bCs/>
          <w:strike/>
          <w:sz w:val="20"/>
          <w:szCs w:val="20"/>
          <w:highlight w:val="red"/>
        </w:rPr>
        <w:t>, </w:t>
      </w:r>
      <w:r w:rsidRPr="00EE72F2">
        <w:rPr>
          <w:rFonts w:ascii="Arial" w:hAnsi="Arial" w:cs="Arial"/>
          <w:bCs/>
          <w:i/>
          <w:iCs/>
          <w:strike/>
          <w:sz w:val="20"/>
          <w:szCs w:val="20"/>
          <w:highlight w:val="red"/>
        </w:rPr>
        <w:t>24</w:t>
      </w:r>
      <w:r w:rsidRPr="00EE72F2">
        <w:rPr>
          <w:rFonts w:ascii="Arial" w:hAnsi="Arial" w:cs="Arial"/>
          <w:bCs/>
          <w:strike/>
          <w:sz w:val="20"/>
          <w:szCs w:val="20"/>
          <w:highlight w:val="red"/>
        </w:rPr>
        <w:t>(4), 314-321.</w:t>
      </w:r>
    </w:p>
    <w:p w:rsidR="0065586D" w:rsidRPr="00EE72F2" w:rsidRDefault="0065586D" w:rsidP="0065586D">
      <w:pPr>
        <w:pStyle w:val="ListParagraph"/>
        <w:spacing w:line="480" w:lineRule="auto"/>
        <w:jc w:val="both"/>
        <w:rPr>
          <w:rFonts w:ascii="Arial" w:hAnsi="Arial" w:cs="Arial"/>
          <w:bCs/>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Moore Jr, P. A., Daniel, T., &amp;amp; Edwards, D. R. (2000). Reducing phosphorus runoff and inhibiting ammonia loss from poultry manure with aluminum sulfate. Journal of Environmental Quality, 29(1), 37-49.</w:t>
      </w:r>
    </w:p>
    <w:p w:rsidR="0065586D" w:rsidRPr="00EE72F2" w:rsidRDefault="0065586D" w:rsidP="0065586D">
      <w:pPr>
        <w:pStyle w:val="ListParagraph"/>
        <w:rPr>
          <w:rFonts w:ascii="Arial" w:hAnsi="Arial" w:cs="Arial"/>
          <w:strike/>
          <w:sz w:val="20"/>
          <w:szCs w:val="20"/>
          <w:highlight w:val="red"/>
        </w:rPr>
      </w:pP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proofErr w:type="spellStart"/>
      <w:r w:rsidRPr="00EE72F2">
        <w:rPr>
          <w:rFonts w:ascii="Arial" w:hAnsi="Arial" w:cs="Arial"/>
          <w:strike/>
          <w:sz w:val="20"/>
          <w:szCs w:val="20"/>
          <w:highlight w:val="red"/>
        </w:rPr>
        <w:t>Qasim</w:t>
      </w:r>
      <w:proofErr w:type="spellEnd"/>
      <w:r w:rsidRPr="00EE72F2">
        <w:rPr>
          <w:rFonts w:ascii="Arial" w:hAnsi="Arial" w:cs="Arial"/>
          <w:strike/>
          <w:sz w:val="20"/>
          <w:szCs w:val="20"/>
          <w:highlight w:val="red"/>
        </w:rPr>
        <w:t xml:space="preserve">, W., Moon, B. E., </w:t>
      </w:r>
      <w:proofErr w:type="spellStart"/>
      <w:r w:rsidRPr="00EE72F2">
        <w:rPr>
          <w:rFonts w:ascii="Arial" w:hAnsi="Arial" w:cs="Arial"/>
          <w:strike/>
          <w:sz w:val="20"/>
          <w:szCs w:val="20"/>
          <w:highlight w:val="red"/>
        </w:rPr>
        <w:t>Phonsuwan</w:t>
      </w:r>
      <w:proofErr w:type="spellEnd"/>
      <w:r w:rsidRPr="00EE72F2">
        <w:rPr>
          <w:rFonts w:ascii="Arial" w:hAnsi="Arial" w:cs="Arial"/>
          <w:strike/>
          <w:sz w:val="20"/>
          <w:szCs w:val="20"/>
          <w:highlight w:val="red"/>
        </w:rPr>
        <w:t>, M., Jo, J. S., Lee, M. H., Nafees, M., &amp;amp; Kim, H. T. (2018). Effects of an aluminum sulfate and ferric chloride blend on poultry litter characteristics in vitro. Journal of Applied Poultry Research, 27(1), 92-102.</w:t>
      </w: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 xml:space="preserve">Xu, Y., Li, J., Guo, Z., &amp; Hua, D. (2020, May). Effects of zeolite and chicken manure on the growth of soybean and rapeseed. In </w:t>
      </w:r>
      <w:r w:rsidRPr="00EE72F2">
        <w:rPr>
          <w:rFonts w:ascii="Arial" w:hAnsi="Arial" w:cs="Arial"/>
          <w:i/>
          <w:iCs/>
          <w:strike/>
          <w:sz w:val="20"/>
          <w:szCs w:val="20"/>
          <w:highlight w:val="red"/>
        </w:rPr>
        <w:t>IOP Conference Series: Earth and Environmental Science</w:t>
      </w:r>
      <w:r w:rsidRPr="00EE72F2">
        <w:rPr>
          <w:rFonts w:ascii="Arial" w:hAnsi="Arial" w:cs="Arial"/>
          <w:strike/>
          <w:sz w:val="20"/>
          <w:szCs w:val="20"/>
          <w:highlight w:val="red"/>
        </w:rPr>
        <w:t xml:space="preserve"> (Vol. 514, No. 5, p. 052047). IOP Publishing.</w:t>
      </w:r>
    </w:p>
    <w:p w:rsidR="0065586D" w:rsidRPr="00EE72F2" w:rsidRDefault="0065586D" w:rsidP="0065586D">
      <w:pPr>
        <w:pStyle w:val="ListParagraph"/>
        <w:rPr>
          <w:rFonts w:ascii="Arial" w:hAnsi="Arial" w:cs="Arial"/>
          <w:strike/>
          <w:sz w:val="20"/>
          <w:szCs w:val="20"/>
          <w:highlight w:val="red"/>
        </w:rPr>
      </w:pP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proofErr w:type="spellStart"/>
      <w:r w:rsidRPr="00EE72F2">
        <w:rPr>
          <w:rFonts w:ascii="Arial" w:hAnsi="Arial" w:cs="Arial"/>
          <w:strike/>
          <w:sz w:val="20"/>
          <w:szCs w:val="20"/>
          <w:highlight w:val="red"/>
        </w:rPr>
        <w:t>Sadasivan</w:t>
      </w:r>
      <w:proofErr w:type="spellEnd"/>
      <w:r w:rsidRPr="00EE72F2">
        <w:rPr>
          <w:rFonts w:ascii="Arial" w:hAnsi="Arial" w:cs="Arial"/>
          <w:strike/>
          <w:sz w:val="20"/>
          <w:szCs w:val="20"/>
          <w:highlight w:val="red"/>
        </w:rPr>
        <w:t xml:space="preserve"> S, </w:t>
      </w:r>
      <w:proofErr w:type="spellStart"/>
      <w:r w:rsidRPr="00EE72F2">
        <w:rPr>
          <w:rFonts w:ascii="Arial" w:hAnsi="Arial" w:cs="Arial"/>
          <w:strike/>
          <w:sz w:val="20"/>
          <w:szCs w:val="20"/>
          <w:highlight w:val="red"/>
        </w:rPr>
        <w:t>Manicham</w:t>
      </w:r>
      <w:proofErr w:type="spellEnd"/>
      <w:r w:rsidRPr="00EE72F2">
        <w:rPr>
          <w:rFonts w:ascii="Arial" w:hAnsi="Arial" w:cs="Arial"/>
          <w:strike/>
          <w:sz w:val="20"/>
          <w:szCs w:val="20"/>
          <w:highlight w:val="red"/>
        </w:rPr>
        <w:t xml:space="preserve"> A (1991) Biochemical Methods; Wiley Eastern Limited: New Delhi.</w:t>
      </w: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r w:rsidRPr="00EE72F2">
        <w:rPr>
          <w:rFonts w:ascii="Arial" w:hAnsi="Arial" w:cs="Arial"/>
          <w:strike/>
          <w:sz w:val="20"/>
          <w:szCs w:val="20"/>
          <w:highlight w:val="red"/>
        </w:rPr>
        <w:t xml:space="preserve">Salim, H. M., Patterson, P. H., </w:t>
      </w:r>
      <w:proofErr w:type="spellStart"/>
      <w:r w:rsidRPr="00EE72F2">
        <w:rPr>
          <w:rFonts w:ascii="Arial" w:hAnsi="Arial" w:cs="Arial"/>
          <w:strike/>
          <w:sz w:val="20"/>
          <w:szCs w:val="20"/>
          <w:highlight w:val="red"/>
        </w:rPr>
        <w:t>Ricke</w:t>
      </w:r>
      <w:proofErr w:type="spellEnd"/>
      <w:r w:rsidRPr="00EE72F2">
        <w:rPr>
          <w:rFonts w:ascii="Arial" w:hAnsi="Arial" w:cs="Arial"/>
          <w:strike/>
          <w:sz w:val="20"/>
          <w:szCs w:val="20"/>
          <w:highlight w:val="red"/>
        </w:rPr>
        <w:t>, S. C., &amp;amp; Kim, W. K. (2014). Enhancement of microbial nitrification to reduce ammonia emission from poultry manure: a review. World&amp;#</w:t>
      </w:r>
      <w:proofErr w:type="gramStart"/>
      <w:r w:rsidRPr="00EE72F2">
        <w:rPr>
          <w:rFonts w:ascii="Arial" w:hAnsi="Arial" w:cs="Arial"/>
          <w:strike/>
          <w:sz w:val="20"/>
          <w:szCs w:val="20"/>
          <w:highlight w:val="red"/>
        </w:rPr>
        <w:t>39;s</w:t>
      </w:r>
      <w:proofErr w:type="gramEnd"/>
      <w:r w:rsidRPr="00EE72F2">
        <w:rPr>
          <w:rFonts w:ascii="Arial" w:hAnsi="Arial" w:cs="Arial"/>
          <w:strike/>
          <w:sz w:val="20"/>
          <w:szCs w:val="20"/>
          <w:highlight w:val="red"/>
        </w:rPr>
        <w:t xml:space="preserve"> Poultry Science Journal, 70(4), 839- 856.</w:t>
      </w:r>
    </w:p>
    <w:p w:rsidR="0065586D" w:rsidRPr="00EE72F2" w:rsidRDefault="0065586D" w:rsidP="0065586D">
      <w:pPr>
        <w:pStyle w:val="ListParagraph"/>
        <w:rPr>
          <w:rFonts w:ascii="Arial" w:hAnsi="Arial" w:cs="Arial"/>
          <w:strike/>
          <w:sz w:val="20"/>
          <w:szCs w:val="20"/>
          <w:highlight w:val="red"/>
        </w:rPr>
      </w:pP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proofErr w:type="spellStart"/>
      <w:r w:rsidRPr="00EE72F2">
        <w:rPr>
          <w:rFonts w:ascii="Arial" w:hAnsi="Arial" w:cs="Arial"/>
          <w:strike/>
          <w:sz w:val="20"/>
          <w:szCs w:val="20"/>
          <w:highlight w:val="red"/>
        </w:rPr>
        <w:t>Pudjirahaju</w:t>
      </w:r>
      <w:proofErr w:type="spellEnd"/>
      <w:r w:rsidRPr="00EE72F2">
        <w:rPr>
          <w:rFonts w:ascii="Arial" w:hAnsi="Arial" w:cs="Arial"/>
          <w:strike/>
          <w:sz w:val="20"/>
          <w:szCs w:val="20"/>
          <w:highlight w:val="red"/>
        </w:rPr>
        <w:t xml:space="preserve">, A., &amp;amp; </w:t>
      </w:r>
      <w:proofErr w:type="spellStart"/>
      <w:r w:rsidRPr="00EE72F2">
        <w:rPr>
          <w:rFonts w:ascii="Arial" w:hAnsi="Arial" w:cs="Arial"/>
          <w:strike/>
          <w:sz w:val="20"/>
          <w:szCs w:val="20"/>
          <w:highlight w:val="red"/>
        </w:rPr>
        <w:t>Arsyad</w:t>
      </w:r>
      <w:proofErr w:type="spellEnd"/>
      <w:r w:rsidRPr="00EE72F2">
        <w:rPr>
          <w:rFonts w:ascii="Arial" w:hAnsi="Arial" w:cs="Arial"/>
          <w:strike/>
          <w:sz w:val="20"/>
          <w:szCs w:val="20"/>
          <w:highlight w:val="red"/>
        </w:rPr>
        <w:t>, M. (2019). Reducing ammonia gas from chicken manure with lime and soybean plants. Environmental Quality Management, 28(4), 49-56. </w:t>
      </w: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proofErr w:type="spellStart"/>
      <w:r w:rsidRPr="00EE72F2">
        <w:rPr>
          <w:rFonts w:ascii="Arial" w:hAnsi="Arial" w:cs="Arial"/>
          <w:strike/>
          <w:sz w:val="20"/>
          <w:szCs w:val="20"/>
          <w:highlight w:val="red"/>
        </w:rPr>
        <w:t>Drapanauskaitė</w:t>
      </w:r>
      <w:proofErr w:type="spellEnd"/>
      <w:r w:rsidRPr="00EE72F2">
        <w:rPr>
          <w:rFonts w:ascii="Arial" w:hAnsi="Arial" w:cs="Arial"/>
          <w:strike/>
          <w:sz w:val="20"/>
          <w:szCs w:val="20"/>
          <w:highlight w:val="red"/>
        </w:rPr>
        <w:t xml:space="preserve">, D., </w:t>
      </w:r>
      <w:proofErr w:type="spellStart"/>
      <w:r w:rsidRPr="00EE72F2">
        <w:rPr>
          <w:rFonts w:ascii="Arial" w:hAnsi="Arial" w:cs="Arial"/>
          <w:strike/>
          <w:sz w:val="20"/>
          <w:szCs w:val="20"/>
          <w:highlight w:val="red"/>
        </w:rPr>
        <w:t>Bunevičienė</w:t>
      </w:r>
      <w:proofErr w:type="spellEnd"/>
      <w:r w:rsidRPr="00EE72F2">
        <w:rPr>
          <w:rFonts w:ascii="Arial" w:hAnsi="Arial" w:cs="Arial"/>
          <w:strike/>
          <w:sz w:val="20"/>
          <w:szCs w:val="20"/>
          <w:highlight w:val="red"/>
        </w:rPr>
        <w:t xml:space="preserve">, K., </w:t>
      </w:r>
      <w:proofErr w:type="spellStart"/>
      <w:r w:rsidRPr="00EE72F2">
        <w:rPr>
          <w:rFonts w:ascii="Arial" w:hAnsi="Arial" w:cs="Arial"/>
          <w:strike/>
          <w:sz w:val="20"/>
          <w:szCs w:val="20"/>
          <w:highlight w:val="red"/>
        </w:rPr>
        <w:t>Repšienė</w:t>
      </w:r>
      <w:proofErr w:type="spellEnd"/>
      <w:r w:rsidRPr="00EE72F2">
        <w:rPr>
          <w:rFonts w:ascii="Arial" w:hAnsi="Arial" w:cs="Arial"/>
          <w:strike/>
          <w:sz w:val="20"/>
          <w:szCs w:val="20"/>
          <w:highlight w:val="red"/>
        </w:rPr>
        <w:t xml:space="preserve">, R., </w:t>
      </w:r>
      <w:proofErr w:type="spellStart"/>
      <w:r w:rsidRPr="00EE72F2">
        <w:rPr>
          <w:rFonts w:ascii="Arial" w:hAnsi="Arial" w:cs="Arial"/>
          <w:strike/>
          <w:sz w:val="20"/>
          <w:szCs w:val="20"/>
          <w:highlight w:val="red"/>
        </w:rPr>
        <w:t>Karčauskienė</w:t>
      </w:r>
      <w:proofErr w:type="spellEnd"/>
      <w:r w:rsidRPr="00EE72F2">
        <w:rPr>
          <w:rFonts w:ascii="Arial" w:hAnsi="Arial" w:cs="Arial"/>
          <w:strike/>
          <w:sz w:val="20"/>
          <w:szCs w:val="20"/>
          <w:highlight w:val="red"/>
        </w:rPr>
        <w:t xml:space="preserve">, D., </w:t>
      </w:r>
      <w:proofErr w:type="spellStart"/>
      <w:r w:rsidRPr="00EE72F2">
        <w:rPr>
          <w:rFonts w:ascii="Arial" w:hAnsi="Arial" w:cs="Arial"/>
          <w:strike/>
          <w:sz w:val="20"/>
          <w:szCs w:val="20"/>
          <w:highlight w:val="red"/>
        </w:rPr>
        <w:t>Mažeika</w:t>
      </w:r>
      <w:proofErr w:type="spellEnd"/>
      <w:r w:rsidRPr="00EE72F2">
        <w:rPr>
          <w:rFonts w:ascii="Arial" w:hAnsi="Arial" w:cs="Arial"/>
          <w:strike/>
          <w:sz w:val="20"/>
          <w:szCs w:val="20"/>
          <w:highlight w:val="red"/>
        </w:rPr>
        <w:t xml:space="preserve">, R., &amp;amp; </w:t>
      </w:r>
      <w:proofErr w:type="spellStart"/>
      <w:r w:rsidRPr="00EE72F2">
        <w:rPr>
          <w:rFonts w:ascii="Arial" w:hAnsi="Arial" w:cs="Arial"/>
          <w:strike/>
          <w:sz w:val="20"/>
          <w:szCs w:val="20"/>
          <w:highlight w:val="red"/>
        </w:rPr>
        <w:t>Baltrusaitis</w:t>
      </w:r>
      <w:proofErr w:type="spellEnd"/>
      <w:r w:rsidRPr="00EE72F2">
        <w:rPr>
          <w:rFonts w:ascii="Arial" w:hAnsi="Arial" w:cs="Arial"/>
          <w:strike/>
          <w:sz w:val="20"/>
          <w:szCs w:val="20"/>
          <w:highlight w:val="red"/>
        </w:rPr>
        <w:t>, J. (2022). The effect of pelletized lime kiln dust combined with biomass combustion ash on soil properties and plant yield in a three-year field study. Land, 11(4), 521.</w:t>
      </w:r>
    </w:p>
    <w:p w:rsidR="0065586D" w:rsidRPr="00EE72F2" w:rsidRDefault="0065586D" w:rsidP="0065586D">
      <w:pPr>
        <w:pStyle w:val="ListParagraph"/>
        <w:rPr>
          <w:rFonts w:ascii="Arial" w:hAnsi="Arial" w:cs="Arial"/>
          <w:strike/>
          <w:sz w:val="20"/>
          <w:szCs w:val="20"/>
          <w:highlight w:val="red"/>
        </w:rPr>
      </w:pP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proofErr w:type="spellStart"/>
      <w:r w:rsidRPr="00EE72F2">
        <w:rPr>
          <w:rFonts w:ascii="Arial" w:hAnsi="Arial" w:cs="Arial"/>
          <w:strike/>
          <w:sz w:val="20"/>
          <w:szCs w:val="20"/>
          <w:highlight w:val="red"/>
        </w:rPr>
        <w:t>Jowkar</w:t>
      </w:r>
      <w:proofErr w:type="spellEnd"/>
      <w:r w:rsidRPr="00EE72F2">
        <w:rPr>
          <w:rFonts w:ascii="Arial" w:hAnsi="Arial" w:cs="Arial"/>
          <w:strike/>
          <w:sz w:val="20"/>
          <w:szCs w:val="20"/>
          <w:highlight w:val="red"/>
        </w:rPr>
        <w:t xml:space="preserve">, M. M., </w:t>
      </w:r>
      <w:proofErr w:type="spellStart"/>
      <w:r w:rsidRPr="00EE72F2">
        <w:rPr>
          <w:rFonts w:ascii="Arial" w:hAnsi="Arial" w:cs="Arial"/>
          <w:strike/>
          <w:sz w:val="20"/>
          <w:szCs w:val="20"/>
          <w:highlight w:val="red"/>
        </w:rPr>
        <w:t>Khalighi</w:t>
      </w:r>
      <w:proofErr w:type="spellEnd"/>
      <w:r w:rsidRPr="00EE72F2">
        <w:rPr>
          <w:rFonts w:ascii="Arial" w:hAnsi="Arial" w:cs="Arial"/>
          <w:strike/>
          <w:sz w:val="20"/>
          <w:szCs w:val="20"/>
          <w:highlight w:val="red"/>
        </w:rPr>
        <w:t xml:space="preserve">, A., </w:t>
      </w:r>
      <w:proofErr w:type="spellStart"/>
      <w:r w:rsidRPr="00EE72F2">
        <w:rPr>
          <w:rFonts w:ascii="Arial" w:hAnsi="Arial" w:cs="Arial"/>
          <w:strike/>
          <w:sz w:val="20"/>
          <w:szCs w:val="20"/>
          <w:highlight w:val="red"/>
        </w:rPr>
        <w:t>Kafi</w:t>
      </w:r>
      <w:proofErr w:type="spellEnd"/>
      <w:r w:rsidRPr="00EE72F2">
        <w:rPr>
          <w:rFonts w:ascii="Arial" w:hAnsi="Arial" w:cs="Arial"/>
          <w:strike/>
          <w:sz w:val="20"/>
          <w:szCs w:val="20"/>
          <w:highlight w:val="red"/>
        </w:rPr>
        <w:t xml:space="preserve">, M., &amp;amp; </w:t>
      </w:r>
      <w:proofErr w:type="spellStart"/>
      <w:r w:rsidRPr="00EE72F2">
        <w:rPr>
          <w:rFonts w:ascii="Arial" w:hAnsi="Arial" w:cs="Arial"/>
          <w:strike/>
          <w:sz w:val="20"/>
          <w:szCs w:val="20"/>
          <w:highlight w:val="red"/>
        </w:rPr>
        <w:t>Hassanzadeh</w:t>
      </w:r>
      <w:proofErr w:type="spellEnd"/>
      <w:r w:rsidRPr="00EE72F2">
        <w:rPr>
          <w:rFonts w:ascii="Arial" w:hAnsi="Arial" w:cs="Arial"/>
          <w:strike/>
          <w:sz w:val="20"/>
          <w:szCs w:val="20"/>
          <w:highlight w:val="red"/>
        </w:rPr>
        <w:t>, N. (2012, June). Evaluation of aluminum sulfate as vase solution biocide on postharvest microbial and physiological properties of&amp;#</w:t>
      </w:r>
      <w:proofErr w:type="gramStart"/>
      <w:r w:rsidRPr="00EE72F2">
        <w:rPr>
          <w:rFonts w:ascii="Arial" w:hAnsi="Arial" w:cs="Arial"/>
          <w:strike/>
          <w:sz w:val="20"/>
          <w:szCs w:val="20"/>
          <w:highlight w:val="red"/>
        </w:rPr>
        <w:t>39;Cherry</w:t>
      </w:r>
      <w:proofErr w:type="gramEnd"/>
      <w:r w:rsidRPr="00EE72F2">
        <w:rPr>
          <w:rFonts w:ascii="Arial" w:hAnsi="Arial" w:cs="Arial"/>
          <w:strike/>
          <w:sz w:val="20"/>
          <w:szCs w:val="20"/>
          <w:highlight w:val="red"/>
        </w:rPr>
        <w:t xml:space="preserve"> Brandy&amp;#39;rose. In VII International Postharvest Symposium 1012 (pp. 615-626).</w:t>
      </w:r>
    </w:p>
    <w:p w:rsidR="0065586D" w:rsidRPr="00EE72F2" w:rsidRDefault="0065586D" w:rsidP="0065586D">
      <w:pPr>
        <w:pStyle w:val="ListParagraph"/>
        <w:spacing w:line="480" w:lineRule="auto"/>
        <w:jc w:val="both"/>
        <w:rPr>
          <w:rFonts w:ascii="Arial" w:hAnsi="Arial" w:cs="Arial"/>
          <w:strike/>
          <w:sz w:val="20"/>
          <w:szCs w:val="20"/>
          <w:highlight w:val="red"/>
        </w:rPr>
      </w:pPr>
    </w:p>
    <w:p w:rsidR="0065586D" w:rsidRPr="00EE72F2" w:rsidRDefault="0065586D" w:rsidP="0065586D">
      <w:pPr>
        <w:pStyle w:val="ListParagraph"/>
        <w:numPr>
          <w:ilvl w:val="0"/>
          <w:numId w:val="2"/>
        </w:numPr>
        <w:spacing w:line="480" w:lineRule="auto"/>
        <w:jc w:val="both"/>
        <w:rPr>
          <w:rFonts w:ascii="Arial" w:hAnsi="Arial" w:cs="Arial"/>
          <w:strike/>
          <w:sz w:val="20"/>
          <w:szCs w:val="20"/>
          <w:highlight w:val="red"/>
        </w:rPr>
      </w:pPr>
      <w:proofErr w:type="spellStart"/>
      <w:r w:rsidRPr="00EE72F2">
        <w:rPr>
          <w:rFonts w:ascii="Arial" w:hAnsi="Arial" w:cs="Arial"/>
          <w:strike/>
          <w:sz w:val="20"/>
          <w:szCs w:val="20"/>
          <w:highlight w:val="red"/>
        </w:rPr>
        <w:t>Bonfim</w:t>
      </w:r>
      <w:proofErr w:type="spellEnd"/>
      <w:r w:rsidRPr="00EE72F2">
        <w:rPr>
          <w:rFonts w:ascii="Arial" w:hAnsi="Arial" w:cs="Arial"/>
          <w:strike/>
          <w:sz w:val="20"/>
          <w:szCs w:val="20"/>
          <w:highlight w:val="red"/>
        </w:rPr>
        <w:t xml:space="preserve">-Silva, E., Oliveira, E., </w:t>
      </w:r>
      <w:proofErr w:type="spellStart"/>
      <w:r w:rsidRPr="00EE72F2">
        <w:rPr>
          <w:rFonts w:ascii="Arial" w:hAnsi="Arial" w:cs="Arial"/>
          <w:strike/>
          <w:sz w:val="20"/>
          <w:szCs w:val="20"/>
          <w:highlight w:val="red"/>
        </w:rPr>
        <w:t>Bezerra</w:t>
      </w:r>
      <w:proofErr w:type="spellEnd"/>
      <w:r w:rsidRPr="00EE72F2">
        <w:rPr>
          <w:rFonts w:ascii="Arial" w:hAnsi="Arial" w:cs="Arial"/>
          <w:strike/>
          <w:sz w:val="20"/>
          <w:szCs w:val="20"/>
          <w:highlight w:val="red"/>
        </w:rPr>
        <w:t xml:space="preserve">, M., </w:t>
      </w:r>
      <w:proofErr w:type="spellStart"/>
      <w:r w:rsidRPr="00EE72F2">
        <w:rPr>
          <w:rFonts w:ascii="Arial" w:hAnsi="Arial" w:cs="Arial"/>
          <w:strike/>
          <w:sz w:val="20"/>
          <w:szCs w:val="20"/>
          <w:highlight w:val="red"/>
        </w:rPr>
        <w:t>Castañon</w:t>
      </w:r>
      <w:proofErr w:type="spellEnd"/>
      <w:r w:rsidRPr="00EE72F2">
        <w:rPr>
          <w:rFonts w:ascii="Arial" w:hAnsi="Arial" w:cs="Arial"/>
          <w:strike/>
          <w:sz w:val="20"/>
          <w:szCs w:val="20"/>
          <w:highlight w:val="red"/>
        </w:rPr>
        <w:t xml:space="preserve">, T., </w:t>
      </w:r>
      <w:proofErr w:type="spellStart"/>
      <w:r w:rsidRPr="00EE72F2">
        <w:rPr>
          <w:rFonts w:ascii="Arial" w:hAnsi="Arial" w:cs="Arial"/>
          <w:strike/>
          <w:sz w:val="20"/>
          <w:szCs w:val="20"/>
          <w:highlight w:val="red"/>
        </w:rPr>
        <w:t>Fenner</w:t>
      </w:r>
      <w:proofErr w:type="spellEnd"/>
      <w:r w:rsidRPr="00EE72F2">
        <w:rPr>
          <w:rFonts w:ascii="Arial" w:hAnsi="Arial" w:cs="Arial"/>
          <w:strike/>
          <w:sz w:val="20"/>
          <w:szCs w:val="20"/>
          <w:highlight w:val="red"/>
        </w:rPr>
        <w:t xml:space="preserve">, W., &amp;amp; Silva, T. (2017). Application of wood ash, </w:t>
      </w:r>
      <w:proofErr w:type="spellStart"/>
      <w:r w:rsidRPr="00EE72F2">
        <w:rPr>
          <w:rFonts w:ascii="Arial" w:hAnsi="Arial" w:cs="Arial"/>
          <w:strike/>
          <w:sz w:val="20"/>
          <w:szCs w:val="20"/>
          <w:highlight w:val="red"/>
        </w:rPr>
        <w:t>organomineral</w:t>
      </w:r>
      <w:proofErr w:type="spellEnd"/>
      <w:r w:rsidRPr="00EE72F2">
        <w:rPr>
          <w:rFonts w:ascii="Arial" w:hAnsi="Arial" w:cs="Arial"/>
          <w:strike/>
          <w:sz w:val="20"/>
          <w:szCs w:val="20"/>
          <w:highlight w:val="red"/>
        </w:rPr>
        <w:t xml:space="preserve"> and mineral fertilizers to increase the growth of arugula (</w:t>
      </w:r>
      <w:proofErr w:type="spellStart"/>
      <w:r w:rsidRPr="00EE72F2">
        <w:rPr>
          <w:rFonts w:ascii="Arial" w:hAnsi="Arial" w:cs="Arial"/>
          <w:strike/>
          <w:sz w:val="20"/>
          <w:szCs w:val="20"/>
          <w:highlight w:val="red"/>
        </w:rPr>
        <w:t>Eruca</w:t>
      </w:r>
      <w:proofErr w:type="spellEnd"/>
      <w:r w:rsidRPr="00EE72F2">
        <w:rPr>
          <w:rFonts w:ascii="Arial" w:hAnsi="Arial" w:cs="Arial"/>
          <w:strike/>
          <w:sz w:val="20"/>
          <w:szCs w:val="20"/>
          <w:highlight w:val="red"/>
        </w:rPr>
        <w:t xml:space="preserve"> sativa Miller) at different base saturation on </w:t>
      </w:r>
      <w:proofErr w:type="spellStart"/>
      <w:r w:rsidRPr="00EE72F2">
        <w:rPr>
          <w:rFonts w:ascii="Arial" w:hAnsi="Arial" w:cs="Arial"/>
          <w:strike/>
          <w:sz w:val="20"/>
          <w:szCs w:val="20"/>
          <w:highlight w:val="red"/>
        </w:rPr>
        <w:t>Oxisol</w:t>
      </w:r>
      <w:proofErr w:type="spellEnd"/>
      <w:r w:rsidRPr="00EE72F2">
        <w:rPr>
          <w:rFonts w:ascii="Arial" w:hAnsi="Arial" w:cs="Arial"/>
          <w:strike/>
          <w:sz w:val="20"/>
          <w:szCs w:val="20"/>
          <w:highlight w:val="red"/>
        </w:rPr>
        <w:t>. Journal of Experimental Agriculture International, 17(3), 1-6.</w:t>
      </w:r>
    </w:p>
    <w:p w:rsidR="0065586D" w:rsidRPr="00D96F90" w:rsidRDefault="0065586D" w:rsidP="0065586D">
      <w:pPr>
        <w:spacing w:after="0" w:line="240" w:lineRule="auto"/>
        <w:jc w:val="center"/>
        <w:rPr>
          <w:rFonts w:ascii="Arial" w:hAnsi="Arial" w:cs="Arial"/>
          <w:b/>
          <w:sz w:val="20"/>
          <w:szCs w:val="20"/>
          <w:highlight w:val="yellow"/>
        </w:rPr>
      </w:pPr>
      <w:r w:rsidRPr="00D96F90">
        <w:rPr>
          <w:rFonts w:ascii="Arial" w:hAnsi="Arial" w:cs="Arial"/>
          <w:b/>
          <w:sz w:val="20"/>
          <w:szCs w:val="20"/>
          <w:highlight w:val="yellow"/>
        </w:rPr>
        <w:lastRenderedPageBreak/>
        <w:t>REFERENCES</w:t>
      </w: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Samuelsson, M. (2003). </w:t>
      </w:r>
      <w:r w:rsidRPr="00D96F90">
        <w:rPr>
          <w:rFonts w:ascii="Arial" w:hAnsi="Arial" w:cs="Arial"/>
          <w:i/>
          <w:sz w:val="20"/>
          <w:szCs w:val="20"/>
          <w:highlight w:val="yellow"/>
        </w:rPr>
        <w:t>Aquavit: And the New Scandinavian Cuisine</w:t>
      </w:r>
      <w:r w:rsidRPr="00D96F90">
        <w:rPr>
          <w:rFonts w:ascii="Arial" w:hAnsi="Arial" w:cs="Arial"/>
          <w:sz w:val="20"/>
          <w:szCs w:val="20"/>
          <w:highlight w:val="yellow"/>
        </w:rPr>
        <w:t xml:space="preserve">. Houghton Mifflin. </w:t>
      </w:r>
      <w:r w:rsidRPr="00D96F90">
        <w:rPr>
          <w:rFonts w:ascii="Arial" w:hAnsi="Arial" w:cs="Arial"/>
          <w:sz w:val="20"/>
          <w:szCs w:val="20"/>
          <w:highlight w:val="yellow"/>
        </w:rPr>
        <w:tab/>
        <w:t>Harcourt.P.12 (of 312). </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before="240" w:after="0" w:line="240" w:lineRule="auto"/>
        <w:ind w:hanging="540"/>
        <w:jc w:val="both"/>
        <w:rPr>
          <w:rFonts w:ascii="Arial" w:hAnsi="Arial" w:cs="Arial"/>
          <w:sz w:val="20"/>
          <w:szCs w:val="20"/>
          <w:highlight w:val="yellow"/>
        </w:rPr>
      </w:pPr>
      <w:proofErr w:type="spellStart"/>
      <w:proofErr w:type="gramStart"/>
      <w:r w:rsidRPr="00D96F90">
        <w:rPr>
          <w:rFonts w:ascii="Arial" w:hAnsi="Arial" w:cs="Arial"/>
          <w:sz w:val="20"/>
          <w:szCs w:val="20"/>
          <w:highlight w:val="yellow"/>
        </w:rPr>
        <w:t>Bhat,S</w:t>
      </w:r>
      <w:proofErr w:type="spellEnd"/>
      <w:r w:rsidRPr="00D96F90">
        <w:rPr>
          <w:rFonts w:ascii="Arial" w:hAnsi="Arial" w:cs="Arial"/>
          <w:sz w:val="20"/>
          <w:szCs w:val="20"/>
          <w:highlight w:val="yellow"/>
        </w:rPr>
        <w:t>.</w:t>
      </w:r>
      <w:proofErr w:type="gramEnd"/>
      <w:r w:rsidRPr="00D96F90">
        <w:rPr>
          <w:rFonts w:ascii="Arial" w:hAnsi="Arial" w:cs="Arial"/>
          <w:sz w:val="20"/>
          <w:szCs w:val="20"/>
          <w:highlight w:val="yellow"/>
        </w:rPr>
        <w:t xml:space="preserve">, </w:t>
      </w:r>
      <w:proofErr w:type="spellStart"/>
      <w:r w:rsidRPr="00D96F90">
        <w:rPr>
          <w:rFonts w:ascii="Arial" w:hAnsi="Arial" w:cs="Arial"/>
          <w:sz w:val="20"/>
          <w:szCs w:val="20"/>
          <w:highlight w:val="yellow"/>
        </w:rPr>
        <w:t>Kauhal</w:t>
      </w:r>
      <w:proofErr w:type="spellEnd"/>
      <w:r w:rsidRPr="00D96F90">
        <w:rPr>
          <w:rFonts w:ascii="Arial" w:hAnsi="Arial" w:cs="Arial"/>
          <w:sz w:val="20"/>
          <w:szCs w:val="20"/>
          <w:highlight w:val="yellow"/>
        </w:rPr>
        <w:t xml:space="preserve">, P., Kaur M. &amp; Sharm H. K. (2014). Coriander Processing, nutritional and </w:t>
      </w:r>
      <w:r w:rsidRPr="00D96F90">
        <w:rPr>
          <w:rFonts w:ascii="Arial" w:hAnsi="Arial" w:cs="Arial"/>
          <w:sz w:val="20"/>
          <w:szCs w:val="20"/>
          <w:highlight w:val="yellow"/>
        </w:rPr>
        <w:tab/>
        <w:t>functional aspects. 64: 1264–1273.</w:t>
      </w:r>
    </w:p>
    <w:p w:rsidR="0065586D" w:rsidRPr="00D96F90" w:rsidRDefault="0065586D" w:rsidP="0065586D">
      <w:pPr>
        <w:pStyle w:val="ListParagraph"/>
        <w:spacing w:after="0" w:line="240" w:lineRule="auto"/>
        <w:ind w:hanging="540"/>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Nadeem, M., Muhammad Anjum, F., Issa Khan, M., </w:t>
      </w:r>
      <w:proofErr w:type="spellStart"/>
      <w:r w:rsidRPr="00D96F90">
        <w:rPr>
          <w:rFonts w:ascii="Arial" w:hAnsi="Arial" w:cs="Arial"/>
          <w:sz w:val="20"/>
          <w:szCs w:val="20"/>
          <w:highlight w:val="yellow"/>
        </w:rPr>
        <w:t>Tehseen</w:t>
      </w:r>
      <w:proofErr w:type="spellEnd"/>
      <w:r w:rsidRPr="00D96F90">
        <w:rPr>
          <w:rFonts w:ascii="Arial" w:hAnsi="Arial" w:cs="Arial"/>
          <w:sz w:val="20"/>
          <w:szCs w:val="20"/>
          <w:highlight w:val="yellow"/>
        </w:rPr>
        <w:t>, S., El</w:t>
      </w:r>
      <w:r w:rsidRPr="00D96F90">
        <w:rPr>
          <w:rFonts w:ascii="Cambria Math" w:hAnsi="Cambria Math" w:cs="Cambria Math"/>
          <w:sz w:val="20"/>
          <w:szCs w:val="20"/>
          <w:highlight w:val="yellow"/>
        </w:rPr>
        <w:t>‐</w:t>
      </w:r>
      <w:proofErr w:type="spellStart"/>
      <w:r w:rsidRPr="00D96F90">
        <w:rPr>
          <w:rFonts w:ascii="Arial" w:hAnsi="Arial" w:cs="Arial"/>
          <w:sz w:val="20"/>
          <w:szCs w:val="20"/>
          <w:highlight w:val="yellow"/>
        </w:rPr>
        <w:t>Ghorab</w:t>
      </w:r>
      <w:proofErr w:type="spellEnd"/>
      <w:r w:rsidRPr="00D96F90">
        <w:rPr>
          <w:rFonts w:ascii="Arial" w:hAnsi="Arial" w:cs="Arial"/>
          <w:sz w:val="20"/>
          <w:szCs w:val="20"/>
          <w:highlight w:val="yellow"/>
        </w:rPr>
        <w:t xml:space="preserve">, A., </w:t>
      </w:r>
      <w:proofErr w:type="gramStart"/>
      <w:r w:rsidRPr="00D96F90">
        <w:rPr>
          <w:rFonts w:ascii="Arial" w:hAnsi="Arial" w:cs="Arial"/>
          <w:sz w:val="20"/>
          <w:szCs w:val="20"/>
          <w:highlight w:val="yellow"/>
        </w:rPr>
        <w:t>&amp;  Iqbal</w:t>
      </w:r>
      <w:proofErr w:type="gramEnd"/>
      <w:r w:rsidRPr="00D96F90">
        <w:rPr>
          <w:rFonts w:ascii="Arial" w:hAnsi="Arial" w:cs="Arial"/>
          <w:sz w:val="20"/>
          <w:szCs w:val="20"/>
          <w:highlight w:val="yellow"/>
        </w:rPr>
        <w:t xml:space="preserve"> Sultan, </w:t>
      </w:r>
      <w:r w:rsidRPr="00D96F90">
        <w:rPr>
          <w:rFonts w:ascii="Arial" w:hAnsi="Arial" w:cs="Arial"/>
          <w:sz w:val="20"/>
          <w:szCs w:val="20"/>
          <w:highlight w:val="yellow"/>
        </w:rPr>
        <w:tab/>
        <w:t>J. (2013). Nutritional and medicinal aspects of coriander (</w:t>
      </w:r>
      <w:r w:rsidRPr="00D96F90">
        <w:rPr>
          <w:rFonts w:ascii="Arial" w:hAnsi="Arial" w:cs="Arial"/>
          <w:i/>
          <w:sz w:val="20"/>
          <w:szCs w:val="20"/>
          <w:highlight w:val="yellow"/>
        </w:rPr>
        <w:t>Coriandrum sativum</w:t>
      </w:r>
      <w:r w:rsidRPr="00D96F90">
        <w:rPr>
          <w:rFonts w:ascii="Arial" w:hAnsi="Arial" w:cs="Arial"/>
          <w:sz w:val="20"/>
          <w:szCs w:val="20"/>
          <w:highlight w:val="yellow"/>
        </w:rPr>
        <w:t xml:space="preserve"> L.) A </w:t>
      </w:r>
      <w:r w:rsidRPr="00D96F90">
        <w:rPr>
          <w:rFonts w:ascii="Arial" w:hAnsi="Arial" w:cs="Arial"/>
          <w:sz w:val="20"/>
          <w:szCs w:val="20"/>
          <w:highlight w:val="yellow"/>
        </w:rPr>
        <w:tab/>
        <w:t xml:space="preserve">review. </w:t>
      </w:r>
      <w:r w:rsidRPr="00D96F90">
        <w:rPr>
          <w:rFonts w:ascii="Arial" w:hAnsi="Arial" w:cs="Arial"/>
          <w:i/>
          <w:sz w:val="20"/>
          <w:szCs w:val="20"/>
          <w:highlight w:val="yellow"/>
        </w:rPr>
        <w:t>British Food Journal, 115</w:t>
      </w:r>
      <w:r w:rsidRPr="00D96F90">
        <w:rPr>
          <w:rFonts w:ascii="Arial" w:hAnsi="Arial" w:cs="Arial"/>
          <w:sz w:val="20"/>
          <w:szCs w:val="20"/>
          <w:highlight w:val="yellow"/>
        </w:rPr>
        <w:t>(5), 743-755.</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Arifin, B., Bono, A., &amp; </w:t>
      </w:r>
      <w:proofErr w:type="spellStart"/>
      <w:r w:rsidRPr="00D96F90">
        <w:rPr>
          <w:rFonts w:ascii="Arial" w:hAnsi="Arial" w:cs="Arial"/>
          <w:sz w:val="20"/>
          <w:szCs w:val="20"/>
          <w:highlight w:val="yellow"/>
        </w:rPr>
        <w:t>Janaun</w:t>
      </w:r>
      <w:proofErr w:type="spellEnd"/>
      <w:r w:rsidRPr="00D96F90">
        <w:rPr>
          <w:rFonts w:ascii="Arial" w:hAnsi="Arial" w:cs="Arial"/>
          <w:sz w:val="20"/>
          <w:szCs w:val="20"/>
          <w:highlight w:val="yellow"/>
        </w:rPr>
        <w:t xml:space="preserve">, J. (2006). The transformation of chicken manure into mineralized </w:t>
      </w:r>
      <w:r w:rsidRPr="00D96F90">
        <w:rPr>
          <w:rFonts w:ascii="Arial" w:hAnsi="Arial" w:cs="Arial"/>
          <w:sz w:val="20"/>
          <w:szCs w:val="20"/>
          <w:highlight w:val="yellow"/>
        </w:rPr>
        <w:tab/>
        <w:t xml:space="preserve">organic fertilizer. </w:t>
      </w:r>
      <w:r w:rsidRPr="00D96F90">
        <w:rPr>
          <w:rFonts w:ascii="Arial" w:hAnsi="Arial" w:cs="Arial"/>
          <w:i/>
          <w:sz w:val="20"/>
          <w:szCs w:val="20"/>
          <w:highlight w:val="yellow"/>
        </w:rPr>
        <w:t xml:space="preserve">J. Sustain. Sci. </w:t>
      </w:r>
      <w:proofErr w:type="spellStart"/>
      <w:r w:rsidRPr="00D96F90">
        <w:rPr>
          <w:rFonts w:ascii="Arial" w:hAnsi="Arial" w:cs="Arial"/>
          <w:i/>
          <w:sz w:val="20"/>
          <w:szCs w:val="20"/>
          <w:highlight w:val="yellow"/>
        </w:rPr>
        <w:t>Manag</w:t>
      </w:r>
      <w:proofErr w:type="spellEnd"/>
      <w:r w:rsidRPr="00D96F90">
        <w:rPr>
          <w:rFonts w:ascii="Arial" w:hAnsi="Arial" w:cs="Arial"/>
          <w:i/>
          <w:sz w:val="20"/>
          <w:szCs w:val="20"/>
          <w:highlight w:val="yellow"/>
        </w:rPr>
        <w:t>, 1</w:t>
      </w:r>
      <w:r w:rsidRPr="00D96F90">
        <w:rPr>
          <w:rFonts w:ascii="Arial" w:hAnsi="Arial" w:cs="Arial"/>
          <w:sz w:val="20"/>
          <w:szCs w:val="20"/>
          <w:highlight w:val="yellow"/>
        </w:rPr>
        <w:t>(1), 58-63.</w:t>
      </w:r>
    </w:p>
    <w:p w:rsidR="0065586D" w:rsidRPr="00D96F90" w:rsidRDefault="0065586D" w:rsidP="0065586D">
      <w:pPr>
        <w:pStyle w:val="ListParagraph"/>
        <w:spacing w:after="0" w:line="240" w:lineRule="auto"/>
        <w:ind w:hanging="540"/>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Wang, Y. C., Han, M. F., Jia, T. P., Hu, X. R., Zhu, H. Q., Tong, Z., ... &amp; </w:t>
      </w:r>
      <w:proofErr w:type="spellStart"/>
      <w:r w:rsidRPr="00D96F90">
        <w:rPr>
          <w:rFonts w:ascii="Arial" w:hAnsi="Arial" w:cs="Arial"/>
          <w:sz w:val="20"/>
          <w:szCs w:val="20"/>
          <w:highlight w:val="yellow"/>
        </w:rPr>
        <w:t>Hsi</w:t>
      </w:r>
      <w:proofErr w:type="spellEnd"/>
      <w:r w:rsidRPr="00D96F90">
        <w:rPr>
          <w:rFonts w:ascii="Arial" w:hAnsi="Arial" w:cs="Arial"/>
          <w:sz w:val="20"/>
          <w:szCs w:val="20"/>
          <w:highlight w:val="yellow"/>
        </w:rPr>
        <w:t xml:space="preserve">, H. C. (2021). </w:t>
      </w:r>
      <w:r w:rsidRPr="00D96F90">
        <w:rPr>
          <w:rFonts w:ascii="Arial" w:hAnsi="Arial" w:cs="Arial"/>
          <w:sz w:val="20"/>
          <w:szCs w:val="20"/>
          <w:highlight w:val="yellow"/>
        </w:rPr>
        <w:tab/>
        <w:t xml:space="preserve">Emissions, measurement, and control of odor in livestock farms: A review. </w:t>
      </w:r>
      <w:r w:rsidRPr="00D96F90">
        <w:rPr>
          <w:rFonts w:ascii="Arial" w:hAnsi="Arial" w:cs="Arial"/>
          <w:i/>
          <w:sz w:val="20"/>
          <w:szCs w:val="20"/>
          <w:highlight w:val="yellow"/>
        </w:rPr>
        <w:t xml:space="preserve">Science of the </w:t>
      </w:r>
      <w:r w:rsidRPr="00D96F90">
        <w:rPr>
          <w:rFonts w:ascii="Arial" w:hAnsi="Arial" w:cs="Arial"/>
          <w:i/>
          <w:sz w:val="20"/>
          <w:szCs w:val="20"/>
          <w:highlight w:val="yellow"/>
        </w:rPr>
        <w:tab/>
        <w:t>Total Environment,</w:t>
      </w:r>
      <w:r w:rsidRPr="00D96F90">
        <w:rPr>
          <w:rFonts w:ascii="Arial" w:hAnsi="Arial" w:cs="Arial"/>
          <w:sz w:val="20"/>
          <w:szCs w:val="20"/>
          <w:highlight w:val="yellow"/>
        </w:rPr>
        <w:t xml:space="preserve"> 776, 145735.</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bCs/>
          <w:sz w:val="20"/>
          <w:szCs w:val="20"/>
          <w:highlight w:val="yellow"/>
        </w:rPr>
      </w:pPr>
      <w:proofErr w:type="spellStart"/>
      <w:r w:rsidRPr="00D96F90">
        <w:rPr>
          <w:rFonts w:ascii="Arial" w:hAnsi="Arial" w:cs="Arial"/>
          <w:bCs/>
          <w:sz w:val="20"/>
          <w:szCs w:val="20"/>
          <w:highlight w:val="yellow"/>
        </w:rPr>
        <w:t>Alesna</w:t>
      </w:r>
      <w:proofErr w:type="spellEnd"/>
      <w:r w:rsidRPr="00D96F90">
        <w:rPr>
          <w:rFonts w:ascii="Arial" w:hAnsi="Arial" w:cs="Arial"/>
          <w:bCs/>
          <w:sz w:val="20"/>
          <w:szCs w:val="20"/>
          <w:highlight w:val="yellow"/>
        </w:rPr>
        <w:t xml:space="preserve">, R. J. G., &amp; Lina, S. B. (2022). Chicken manure application and liming enhanced the soil </w:t>
      </w:r>
      <w:r w:rsidRPr="00D96F90">
        <w:rPr>
          <w:rFonts w:ascii="Arial" w:hAnsi="Arial" w:cs="Arial"/>
          <w:bCs/>
          <w:sz w:val="20"/>
          <w:szCs w:val="20"/>
          <w:highlight w:val="yellow"/>
        </w:rPr>
        <w:tab/>
        <w:t xml:space="preserve">chemical properties of </w:t>
      </w:r>
      <w:proofErr w:type="spellStart"/>
      <w:r w:rsidRPr="00D96F90">
        <w:rPr>
          <w:rFonts w:ascii="Arial" w:hAnsi="Arial" w:cs="Arial"/>
          <w:bCs/>
          <w:sz w:val="20"/>
          <w:szCs w:val="20"/>
          <w:highlight w:val="yellow"/>
        </w:rPr>
        <w:t>andisols</w:t>
      </w:r>
      <w:proofErr w:type="spellEnd"/>
      <w:r w:rsidRPr="00D96F90">
        <w:rPr>
          <w:rFonts w:ascii="Arial" w:hAnsi="Arial" w:cs="Arial"/>
          <w:bCs/>
          <w:sz w:val="20"/>
          <w:szCs w:val="20"/>
          <w:highlight w:val="yellow"/>
        </w:rPr>
        <w:t>. </w:t>
      </w:r>
      <w:r w:rsidRPr="00D96F90">
        <w:rPr>
          <w:rFonts w:ascii="Arial" w:hAnsi="Arial" w:cs="Arial"/>
          <w:bCs/>
          <w:i/>
          <w:iCs/>
          <w:sz w:val="20"/>
          <w:szCs w:val="20"/>
          <w:highlight w:val="yellow"/>
        </w:rPr>
        <w:t xml:space="preserve">Journal of Agriculture and Technology Management </w:t>
      </w:r>
      <w:r w:rsidRPr="00D96F90">
        <w:rPr>
          <w:rFonts w:ascii="Arial" w:hAnsi="Arial" w:cs="Arial"/>
          <w:bCs/>
          <w:i/>
          <w:iCs/>
          <w:sz w:val="20"/>
          <w:szCs w:val="20"/>
          <w:highlight w:val="yellow"/>
        </w:rPr>
        <w:tab/>
        <w:t>(JATM)</w:t>
      </w:r>
      <w:r w:rsidRPr="00D96F90">
        <w:rPr>
          <w:rFonts w:ascii="Arial" w:hAnsi="Arial" w:cs="Arial"/>
          <w:bCs/>
          <w:sz w:val="20"/>
          <w:szCs w:val="20"/>
          <w:highlight w:val="yellow"/>
        </w:rPr>
        <w:t>, </w:t>
      </w:r>
      <w:r w:rsidRPr="00D96F90">
        <w:rPr>
          <w:rFonts w:ascii="Arial" w:hAnsi="Arial" w:cs="Arial"/>
          <w:bCs/>
          <w:i/>
          <w:iCs/>
          <w:sz w:val="20"/>
          <w:szCs w:val="20"/>
          <w:highlight w:val="yellow"/>
        </w:rPr>
        <w:t>25</w:t>
      </w:r>
      <w:r w:rsidRPr="00D96F90">
        <w:rPr>
          <w:rFonts w:ascii="Arial" w:hAnsi="Arial" w:cs="Arial"/>
          <w:bCs/>
          <w:sz w:val="20"/>
          <w:szCs w:val="20"/>
          <w:highlight w:val="yellow"/>
        </w:rPr>
        <w:t>(1), 102-109.</w:t>
      </w:r>
    </w:p>
    <w:p w:rsidR="0065586D" w:rsidRPr="00D96F90" w:rsidRDefault="0065586D" w:rsidP="0065586D">
      <w:pPr>
        <w:pStyle w:val="ListParagraph"/>
        <w:spacing w:after="0" w:line="240" w:lineRule="auto"/>
        <w:ind w:hanging="540"/>
        <w:rPr>
          <w:rFonts w:ascii="Arial" w:hAnsi="Arial" w:cs="Arial"/>
          <w:bCs/>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Zhang L., Zhao B. W. &amp; Li R. R. (2012). Research Progress of Soil Amelioration with Zeolite[J]. </w:t>
      </w:r>
      <w:r w:rsidRPr="00D96F90">
        <w:rPr>
          <w:rFonts w:ascii="Arial" w:hAnsi="Arial" w:cs="Arial"/>
          <w:sz w:val="20"/>
          <w:szCs w:val="20"/>
          <w:highlight w:val="yellow"/>
        </w:rPr>
        <w:tab/>
      </w:r>
      <w:r w:rsidRPr="00D96F90">
        <w:rPr>
          <w:rFonts w:ascii="Arial" w:hAnsi="Arial" w:cs="Arial"/>
          <w:i/>
          <w:sz w:val="20"/>
          <w:szCs w:val="20"/>
          <w:highlight w:val="yellow"/>
        </w:rPr>
        <w:t>Environment Science and Management, 37</w:t>
      </w:r>
      <w:r w:rsidRPr="00D96F90">
        <w:rPr>
          <w:rFonts w:ascii="Arial" w:hAnsi="Arial" w:cs="Arial"/>
          <w:sz w:val="20"/>
          <w:szCs w:val="20"/>
          <w:highlight w:val="yellow"/>
        </w:rPr>
        <w:t xml:space="preserve"> (1): 39-43.</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Xu G. H. (2003). The mechanism of the improvement of soil with natural zeolite[J]. </w:t>
      </w:r>
      <w:r w:rsidRPr="00D96F90">
        <w:rPr>
          <w:rFonts w:ascii="Arial" w:hAnsi="Arial" w:cs="Arial"/>
          <w:i/>
          <w:sz w:val="20"/>
          <w:szCs w:val="20"/>
          <w:highlight w:val="yellow"/>
        </w:rPr>
        <w:t xml:space="preserve">Conservation </w:t>
      </w:r>
      <w:r w:rsidRPr="00D96F90">
        <w:rPr>
          <w:rFonts w:ascii="Arial" w:hAnsi="Arial" w:cs="Arial"/>
          <w:i/>
          <w:sz w:val="20"/>
          <w:szCs w:val="20"/>
          <w:highlight w:val="yellow"/>
        </w:rPr>
        <w:tab/>
        <w:t xml:space="preserve">and Utilization of Mineral Resources, </w:t>
      </w:r>
      <w:r w:rsidRPr="00D96F90">
        <w:rPr>
          <w:rFonts w:ascii="Arial" w:hAnsi="Arial" w:cs="Arial"/>
          <w:sz w:val="20"/>
          <w:szCs w:val="20"/>
          <w:highlight w:val="yellow"/>
        </w:rPr>
        <w:t>(5):18-20.</w:t>
      </w:r>
    </w:p>
    <w:p w:rsidR="0065586D" w:rsidRPr="00D96F90" w:rsidRDefault="0065586D" w:rsidP="0065586D">
      <w:pPr>
        <w:pStyle w:val="ListParagraph"/>
        <w:spacing w:after="0" w:line="240" w:lineRule="auto"/>
        <w:ind w:hanging="540"/>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Li C. H., Li H. X. &amp; Zhang X. M. (2000). Effects of natural zeolite on soil properties and nutrient </w:t>
      </w:r>
      <w:r w:rsidRPr="00D96F90">
        <w:rPr>
          <w:rFonts w:ascii="Arial" w:hAnsi="Arial" w:cs="Arial"/>
          <w:sz w:val="20"/>
          <w:szCs w:val="20"/>
          <w:highlight w:val="yellow"/>
        </w:rPr>
        <w:tab/>
        <w:t xml:space="preserve">efficiency[J]. </w:t>
      </w:r>
      <w:r w:rsidRPr="00D96F90">
        <w:rPr>
          <w:rFonts w:ascii="Arial" w:hAnsi="Arial" w:cs="Arial"/>
          <w:i/>
          <w:sz w:val="20"/>
          <w:szCs w:val="20"/>
          <w:highlight w:val="yellow"/>
        </w:rPr>
        <w:t>Soil and Environment, 9</w:t>
      </w:r>
      <w:r w:rsidRPr="00D96F90">
        <w:rPr>
          <w:rFonts w:ascii="Arial" w:hAnsi="Arial" w:cs="Arial"/>
          <w:sz w:val="20"/>
          <w:szCs w:val="20"/>
          <w:highlight w:val="yellow"/>
        </w:rPr>
        <w:t>(2): 163-165.</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Kong X. Q., &amp; Yuan J. (2005). Study on the role of natural zeolite in the improvement of </w:t>
      </w:r>
      <w:r w:rsidRPr="00D96F90">
        <w:rPr>
          <w:rFonts w:ascii="Arial" w:hAnsi="Arial" w:cs="Arial"/>
          <w:sz w:val="20"/>
          <w:szCs w:val="20"/>
          <w:highlight w:val="yellow"/>
        </w:rPr>
        <w:tab/>
        <w:t xml:space="preserve">greenhouse soil [J]. </w:t>
      </w:r>
      <w:r w:rsidRPr="00D96F90">
        <w:rPr>
          <w:rFonts w:ascii="Arial" w:hAnsi="Arial" w:cs="Arial"/>
          <w:i/>
          <w:sz w:val="20"/>
          <w:szCs w:val="20"/>
          <w:highlight w:val="yellow"/>
        </w:rPr>
        <w:t>China Non-metallic Minerals Industry</w:t>
      </w:r>
      <w:r w:rsidRPr="00D96F90">
        <w:rPr>
          <w:rFonts w:ascii="Arial" w:hAnsi="Arial" w:cs="Arial"/>
          <w:sz w:val="20"/>
          <w:szCs w:val="20"/>
          <w:highlight w:val="yellow"/>
        </w:rPr>
        <w:t>, 246: 31-37.</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Qi N., Sun X. Y., &amp; Zhang T. T. (2011). Advances in the application of zeolite in soil improvement </w:t>
      </w:r>
      <w:r w:rsidRPr="00D96F90">
        <w:rPr>
          <w:rFonts w:ascii="Arial" w:hAnsi="Arial" w:cs="Arial"/>
          <w:sz w:val="20"/>
          <w:szCs w:val="20"/>
          <w:highlight w:val="yellow"/>
        </w:rPr>
        <w:tab/>
        <w:t xml:space="preserve">and pollution control[J]. </w:t>
      </w:r>
      <w:r w:rsidRPr="00D96F90">
        <w:rPr>
          <w:rFonts w:ascii="Arial" w:hAnsi="Arial" w:cs="Arial"/>
          <w:i/>
          <w:sz w:val="20"/>
          <w:szCs w:val="20"/>
          <w:highlight w:val="yellow"/>
        </w:rPr>
        <w:t>Guizhou Agricultural Sciences, 39</w:t>
      </w:r>
      <w:r w:rsidRPr="00D96F90">
        <w:rPr>
          <w:rFonts w:ascii="Arial" w:hAnsi="Arial" w:cs="Arial"/>
          <w:sz w:val="20"/>
          <w:szCs w:val="20"/>
          <w:highlight w:val="yellow"/>
        </w:rPr>
        <w:t xml:space="preserve"> (11): 133-135.</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Jiang X F, Sun X. Research progress of natural zeolite in soil improvement and fertilizer </w:t>
      </w:r>
      <w:r w:rsidRPr="00D96F90">
        <w:rPr>
          <w:rFonts w:ascii="Arial" w:hAnsi="Arial" w:cs="Arial"/>
          <w:sz w:val="20"/>
          <w:szCs w:val="20"/>
          <w:highlight w:val="yellow"/>
        </w:rPr>
        <w:tab/>
        <w:t xml:space="preserve">production [J]. </w:t>
      </w:r>
      <w:proofErr w:type="spellStart"/>
      <w:r w:rsidRPr="00D96F90">
        <w:rPr>
          <w:rFonts w:ascii="Arial" w:hAnsi="Arial" w:cs="Arial"/>
          <w:sz w:val="20"/>
          <w:szCs w:val="20"/>
          <w:highlight w:val="yellow"/>
        </w:rPr>
        <w:t>Pratacultural</w:t>
      </w:r>
      <w:proofErr w:type="spellEnd"/>
      <w:r w:rsidRPr="00D96F90">
        <w:rPr>
          <w:rFonts w:ascii="Arial" w:hAnsi="Arial" w:cs="Arial"/>
          <w:sz w:val="20"/>
          <w:szCs w:val="20"/>
          <w:highlight w:val="yellow"/>
        </w:rPr>
        <w:t xml:space="preserve"> Science, 2004, 21(4):48-51.</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bCs/>
          <w:sz w:val="20"/>
          <w:szCs w:val="20"/>
          <w:highlight w:val="yellow"/>
        </w:rPr>
      </w:pPr>
      <w:proofErr w:type="spellStart"/>
      <w:r w:rsidRPr="00D96F90">
        <w:rPr>
          <w:rFonts w:ascii="Arial" w:hAnsi="Arial" w:cs="Arial"/>
          <w:bCs/>
          <w:sz w:val="20"/>
          <w:szCs w:val="20"/>
          <w:highlight w:val="yellow"/>
        </w:rPr>
        <w:t>Agbede</w:t>
      </w:r>
      <w:proofErr w:type="spellEnd"/>
      <w:r w:rsidRPr="00D96F90">
        <w:rPr>
          <w:rFonts w:ascii="Arial" w:hAnsi="Arial" w:cs="Arial"/>
          <w:bCs/>
          <w:sz w:val="20"/>
          <w:szCs w:val="20"/>
          <w:highlight w:val="yellow"/>
        </w:rPr>
        <w:t xml:space="preserve">, T. M., &amp; </w:t>
      </w:r>
      <w:proofErr w:type="spellStart"/>
      <w:r w:rsidRPr="00D96F90">
        <w:rPr>
          <w:rFonts w:ascii="Arial" w:hAnsi="Arial" w:cs="Arial"/>
          <w:bCs/>
          <w:sz w:val="20"/>
          <w:szCs w:val="20"/>
          <w:highlight w:val="yellow"/>
        </w:rPr>
        <w:t>Adekiya</w:t>
      </w:r>
      <w:proofErr w:type="spellEnd"/>
      <w:r w:rsidRPr="00D96F90">
        <w:rPr>
          <w:rFonts w:ascii="Arial" w:hAnsi="Arial" w:cs="Arial"/>
          <w:bCs/>
          <w:sz w:val="20"/>
          <w:szCs w:val="20"/>
          <w:highlight w:val="yellow"/>
        </w:rPr>
        <w:t xml:space="preserve">, A. O. (2012). Effect of wood ash, poultry manure and NPK fertilizer on </w:t>
      </w:r>
      <w:r w:rsidRPr="00D96F90">
        <w:rPr>
          <w:rFonts w:ascii="Arial" w:hAnsi="Arial" w:cs="Arial"/>
          <w:bCs/>
          <w:sz w:val="20"/>
          <w:szCs w:val="20"/>
          <w:highlight w:val="yellow"/>
        </w:rPr>
        <w:tab/>
        <w:t>soil and leaf nutrient composition, growth and yield of okra (</w:t>
      </w:r>
      <w:r w:rsidRPr="00D96F90">
        <w:rPr>
          <w:rFonts w:ascii="Arial" w:hAnsi="Arial" w:cs="Arial"/>
          <w:bCs/>
          <w:i/>
          <w:sz w:val="20"/>
          <w:szCs w:val="20"/>
          <w:highlight w:val="yellow"/>
        </w:rPr>
        <w:t xml:space="preserve">Abelmoschus </w:t>
      </w:r>
      <w:r w:rsidRPr="00D96F90">
        <w:rPr>
          <w:rFonts w:ascii="Arial" w:hAnsi="Arial" w:cs="Arial"/>
          <w:bCs/>
          <w:i/>
          <w:sz w:val="20"/>
          <w:szCs w:val="20"/>
          <w:highlight w:val="yellow"/>
        </w:rPr>
        <w:tab/>
      </w:r>
      <w:proofErr w:type="spellStart"/>
      <w:r w:rsidRPr="00D96F90">
        <w:rPr>
          <w:rFonts w:ascii="Arial" w:hAnsi="Arial" w:cs="Arial"/>
          <w:bCs/>
          <w:i/>
          <w:sz w:val="20"/>
          <w:szCs w:val="20"/>
          <w:highlight w:val="yellow"/>
        </w:rPr>
        <w:t>esculentus</w:t>
      </w:r>
      <w:proofErr w:type="spellEnd"/>
      <w:r w:rsidRPr="00D96F90">
        <w:rPr>
          <w:rFonts w:ascii="Arial" w:hAnsi="Arial" w:cs="Arial"/>
          <w:bCs/>
          <w:i/>
          <w:sz w:val="20"/>
          <w:szCs w:val="20"/>
          <w:highlight w:val="yellow"/>
        </w:rPr>
        <w:t>)</w:t>
      </w:r>
      <w:r w:rsidRPr="00D96F90">
        <w:rPr>
          <w:rFonts w:ascii="Arial" w:hAnsi="Arial" w:cs="Arial"/>
          <w:bCs/>
          <w:sz w:val="20"/>
          <w:szCs w:val="20"/>
          <w:highlight w:val="yellow"/>
        </w:rPr>
        <w:t>. </w:t>
      </w:r>
      <w:r w:rsidRPr="00D96F90">
        <w:rPr>
          <w:rFonts w:ascii="Arial" w:hAnsi="Arial" w:cs="Arial"/>
          <w:bCs/>
          <w:i/>
          <w:iCs/>
          <w:sz w:val="20"/>
          <w:szCs w:val="20"/>
          <w:highlight w:val="yellow"/>
        </w:rPr>
        <w:t>Emir. J. Food Agric</w:t>
      </w:r>
      <w:r w:rsidRPr="00D96F90">
        <w:rPr>
          <w:rFonts w:ascii="Arial" w:hAnsi="Arial" w:cs="Arial"/>
          <w:bCs/>
          <w:sz w:val="20"/>
          <w:szCs w:val="20"/>
          <w:highlight w:val="yellow"/>
        </w:rPr>
        <w:t>, </w:t>
      </w:r>
      <w:r w:rsidRPr="00D96F90">
        <w:rPr>
          <w:rFonts w:ascii="Arial" w:hAnsi="Arial" w:cs="Arial"/>
          <w:bCs/>
          <w:i/>
          <w:iCs/>
          <w:sz w:val="20"/>
          <w:szCs w:val="20"/>
          <w:highlight w:val="yellow"/>
        </w:rPr>
        <w:t>24</w:t>
      </w:r>
      <w:r w:rsidRPr="00D96F90">
        <w:rPr>
          <w:rFonts w:ascii="Arial" w:hAnsi="Arial" w:cs="Arial"/>
          <w:bCs/>
          <w:sz w:val="20"/>
          <w:szCs w:val="20"/>
          <w:highlight w:val="yellow"/>
        </w:rPr>
        <w:t>(4):314-321.</w:t>
      </w:r>
    </w:p>
    <w:p w:rsidR="0065586D" w:rsidRPr="00D96F90" w:rsidRDefault="0065586D" w:rsidP="0065586D">
      <w:pPr>
        <w:pStyle w:val="ListParagraph"/>
        <w:spacing w:after="0" w:line="240" w:lineRule="auto"/>
        <w:ind w:hanging="540"/>
        <w:jc w:val="both"/>
        <w:rPr>
          <w:rFonts w:ascii="Arial" w:hAnsi="Arial" w:cs="Arial"/>
          <w:bCs/>
          <w:sz w:val="20"/>
          <w:szCs w:val="20"/>
          <w:highlight w:val="yellow"/>
        </w:rPr>
      </w:pPr>
      <w:r w:rsidRPr="00D96F90">
        <w:rPr>
          <w:rFonts w:ascii="Arial" w:hAnsi="Arial" w:cs="Arial"/>
          <w:bCs/>
          <w:sz w:val="20"/>
          <w:szCs w:val="20"/>
          <w:highlight w:val="yellow"/>
        </w:rPr>
        <w:tab/>
      </w: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Moore Jr, P. A., Daniel, T., &amp; Edwards, D. R. (2000). Reducing phosphorus runoff and inhibiting </w:t>
      </w:r>
      <w:r w:rsidRPr="00D96F90">
        <w:rPr>
          <w:rFonts w:ascii="Arial" w:hAnsi="Arial" w:cs="Arial"/>
          <w:sz w:val="20"/>
          <w:szCs w:val="20"/>
          <w:highlight w:val="yellow"/>
        </w:rPr>
        <w:tab/>
        <w:t xml:space="preserve">ammonia loss from poultry manure with aluminum sulfate. </w:t>
      </w:r>
      <w:r w:rsidRPr="00D96F90">
        <w:rPr>
          <w:rFonts w:ascii="Arial" w:hAnsi="Arial" w:cs="Arial"/>
          <w:i/>
          <w:sz w:val="20"/>
          <w:szCs w:val="20"/>
          <w:highlight w:val="yellow"/>
        </w:rPr>
        <w:t xml:space="preserve">Journal of Environmental </w:t>
      </w:r>
      <w:r w:rsidRPr="00D96F90">
        <w:rPr>
          <w:rFonts w:ascii="Arial" w:hAnsi="Arial" w:cs="Arial"/>
          <w:i/>
          <w:sz w:val="20"/>
          <w:szCs w:val="20"/>
          <w:highlight w:val="yellow"/>
        </w:rPr>
        <w:tab/>
        <w:t>Quality, 29</w:t>
      </w:r>
      <w:r w:rsidRPr="00D96F90">
        <w:rPr>
          <w:rFonts w:ascii="Arial" w:hAnsi="Arial" w:cs="Arial"/>
          <w:sz w:val="20"/>
          <w:szCs w:val="20"/>
          <w:highlight w:val="yellow"/>
        </w:rPr>
        <w:t>(1):37-49.</w:t>
      </w:r>
    </w:p>
    <w:p w:rsidR="0065586D" w:rsidRPr="00D96F90" w:rsidRDefault="0065586D" w:rsidP="0065586D">
      <w:pPr>
        <w:pStyle w:val="ListParagraph"/>
        <w:spacing w:after="0" w:line="240" w:lineRule="auto"/>
        <w:ind w:hanging="540"/>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proofErr w:type="spellStart"/>
      <w:r w:rsidRPr="00D96F90">
        <w:rPr>
          <w:rFonts w:ascii="Arial" w:hAnsi="Arial" w:cs="Arial"/>
          <w:sz w:val="20"/>
          <w:szCs w:val="20"/>
          <w:highlight w:val="yellow"/>
        </w:rPr>
        <w:t>Qasim</w:t>
      </w:r>
      <w:proofErr w:type="spellEnd"/>
      <w:r w:rsidRPr="00D96F90">
        <w:rPr>
          <w:rFonts w:ascii="Arial" w:hAnsi="Arial" w:cs="Arial"/>
          <w:sz w:val="20"/>
          <w:szCs w:val="20"/>
          <w:highlight w:val="yellow"/>
        </w:rPr>
        <w:t xml:space="preserve">, W., Moon, B. E., </w:t>
      </w:r>
      <w:proofErr w:type="spellStart"/>
      <w:r w:rsidRPr="00D96F90">
        <w:rPr>
          <w:rFonts w:ascii="Arial" w:hAnsi="Arial" w:cs="Arial"/>
          <w:sz w:val="20"/>
          <w:szCs w:val="20"/>
          <w:highlight w:val="yellow"/>
        </w:rPr>
        <w:t>Phonsuwan</w:t>
      </w:r>
      <w:proofErr w:type="spellEnd"/>
      <w:r w:rsidRPr="00D96F90">
        <w:rPr>
          <w:rFonts w:ascii="Arial" w:hAnsi="Arial" w:cs="Arial"/>
          <w:sz w:val="20"/>
          <w:szCs w:val="20"/>
          <w:highlight w:val="yellow"/>
        </w:rPr>
        <w:t xml:space="preserve">, M., Jo, J. S., Lee, M. H., Nafees, M., &amp;amp; Kim, H. T. </w:t>
      </w:r>
      <w:r w:rsidRPr="00D96F90">
        <w:rPr>
          <w:rFonts w:ascii="Arial" w:hAnsi="Arial" w:cs="Arial"/>
          <w:sz w:val="20"/>
          <w:szCs w:val="20"/>
          <w:highlight w:val="yellow"/>
        </w:rPr>
        <w:tab/>
        <w:t xml:space="preserve">(2018). Effects of an aluminum sulfate and ferric chloride blend on poultry litter </w:t>
      </w:r>
      <w:r w:rsidRPr="00D96F90">
        <w:rPr>
          <w:rFonts w:ascii="Arial" w:hAnsi="Arial" w:cs="Arial"/>
          <w:sz w:val="20"/>
          <w:szCs w:val="20"/>
          <w:highlight w:val="yellow"/>
        </w:rPr>
        <w:tab/>
        <w:t xml:space="preserve">characteristics in vitro. </w:t>
      </w:r>
      <w:r w:rsidRPr="00D96F90">
        <w:rPr>
          <w:rFonts w:ascii="Arial" w:hAnsi="Arial" w:cs="Arial"/>
          <w:i/>
          <w:sz w:val="20"/>
          <w:szCs w:val="20"/>
          <w:highlight w:val="yellow"/>
        </w:rPr>
        <w:t>Journal of Applied Poultry Research, 27</w:t>
      </w:r>
      <w:r w:rsidRPr="00D96F90">
        <w:rPr>
          <w:rFonts w:ascii="Arial" w:hAnsi="Arial" w:cs="Arial"/>
          <w:sz w:val="20"/>
          <w:szCs w:val="20"/>
          <w:highlight w:val="yellow"/>
        </w:rPr>
        <w:t>(1), 92-102.</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Xu, Y., Li, J., Guo, Z., &amp; Hua, D. (2020, May). Effects of zeolite and chicken manure on the </w:t>
      </w:r>
      <w:r w:rsidRPr="00D96F90">
        <w:rPr>
          <w:rFonts w:ascii="Arial" w:hAnsi="Arial" w:cs="Arial"/>
          <w:sz w:val="20"/>
          <w:szCs w:val="20"/>
          <w:highlight w:val="yellow"/>
        </w:rPr>
        <w:tab/>
        <w:t xml:space="preserve">growth of soybean and rapeseed. </w:t>
      </w:r>
      <w:r w:rsidRPr="00D96F90">
        <w:rPr>
          <w:rFonts w:ascii="Arial" w:hAnsi="Arial" w:cs="Arial"/>
          <w:i/>
          <w:sz w:val="20"/>
          <w:szCs w:val="20"/>
          <w:highlight w:val="yellow"/>
        </w:rPr>
        <w:t>In</w:t>
      </w:r>
      <w:r w:rsidRPr="00D96F90">
        <w:rPr>
          <w:rFonts w:ascii="Arial" w:hAnsi="Arial" w:cs="Arial"/>
          <w:sz w:val="20"/>
          <w:szCs w:val="20"/>
          <w:highlight w:val="yellow"/>
        </w:rPr>
        <w:t xml:space="preserve"> </w:t>
      </w:r>
      <w:r w:rsidRPr="00D96F90">
        <w:rPr>
          <w:rFonts w:ascii="Arial" w:hAnsi="Arial" w:cs="Arial"/>
          <w:i/>
          <w:iCs/>
          <w:sz w:val="20"/>
          <w:szCs w:val="20"/>
          <w:highlight w:val="yellow"/>
        </w:rPr>
        <w:t xml:space="preserve">IOP Conference Series: Earth and Environmental </w:t>
      </w:r>
      <w:r w:rsidRPr="00D96F90">
        <w:rPr>
          <w:rFonts w:ascii="Arial" w:hAnsi="Arial" w:cs="Arial"/>
          <w:i/>
          <w:iCs/>
          <w:sz w:val="20"/>
          <w:szCs w:val="20"/>
          <w:highlight w:val="yellow"/>
        </w:rPr>
        <w:tab/>
        <w:t>Science,</w:t>
      </w:r>
      <w:r w:rsidRPr="00D96F90">
        <w:rPr>
          <w:rFonts w:ascii="Arial" w:hAnsi="Arial" w:cs="Arial"/>
          <w:sz w:val="20"/>
          <w:szCs w:val="20"/>
          <w:highlight w:val="yellow"/>
        </w:rPr>
        <w:t xml:space="preserve"> </w:t>
      </w:r>
      <w:r w:rsidRPr="00D96F90">
        <w:rPr>
          <w:rFonts w:ascii="Arial" w:hAnsi="Arial" w:cs="Arial"/>
          <w:i/>
          <w:sz w:val="20"/>
          <w:szCs w:val="20"/>
          <w:highlight w:val="yellow"/>
        </w:rPr>
        <w:t>(514)</w:t>
      </w:r>
      <w:r w:rsidRPr="00D96F90">
        <w:rPr>
          <w:rFonts w:ascii="Arial" w:hAnsi="Arial" w:cs="Arial"/>
          <w:sz w:val="20"/>
          <w:szCs w:val="20"/>
          <w:highlight w:val="yellow"/>
        </w:rPr>
        <w:t xml:space="preserve"> 5: 052047. IOP Publishing.</w:t>
      </w:r>
    </w:p>
    <w:p w:rsidR="0065586D" w:rsidRPr="00D96F90" w:rsidRDefault="0065586D" w:rsidP="0065586D">
      <w:pPr>
        <w:pStyle w:val="ListParagraph"/>
        <w:spacing w:after="0" w:line="240" w:lineRule="auto"/>
        <w:ind w:hanging="540"/>
        <w:rPr>
          <w:rFonts w:ascii="Arial" w:hAnsi="Arial" w:cs="Arial"/>
          <w:sz w:val="20"/>
          <w:szCs w:val="20"/>
          <w:highlight w:val="yellow"/>
        </w:rPr>
      </w:pP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proofErr w:type="spellStart"/>
      <w:r w:rsidRPr="00D96F90">
        <w:rPr>
          <w:rFonts w:ascii="Arial" w:hAnsi="Arial" w:cs="Arial"/>
          <w:sz w:val="20"/>
          <w:szCs w:val="20"/>
          <w:highlight w:val="yellow"/>
        </w:rPr>
        <w:t>Sadasivan</w:t>
      </w:r>
      <w:proofErr w:type="spellEnd"/>
      <w:r w:rsidRPr="00D96F90">
        <w:rPr>
          <w:rFonts w:ascii="Arial" w:hAnsi="Arial" w:cs="Arial"/>
          <w:sz w:val="20"/>
          <w:szCs w:val="20"/>
          <w:highlight w:val="yellow"/>
        </w:rPr>
        <w:t xml:space="preserve"> S. and </w:t>
      </w:r>
      <w:proofErr w:type="spellStart"/>
      <w:r w:rsidRPr="00D96F90">
        <w:rPr>
          <w:rFonts w:ascii="Arial" w:hAnsi="Arial" w:cs="Arial"/>
          <w:sz w:val="20"/>
          <w:szCs w:val="20"/>
          <w:highlight w:val="yellow"/>
        </w:rPr>
        <w:t>Manicham</w:t>
      </w:r>
      <w:proofErr w:type="spellEnd"/>
      <w:r w:rsidRPr="00D96F90">
        <w:rPr>
          <w:rFonts w:ascii="Arial" w:hAnsi="Arial" w:cs="Arial"/>
          <w:sz w:val="20"/>
          <w:szCs w:val="20"/>
          <w:highlight w:val="yellow"/>
        </w:rPr>
        <w:t xml:space="preserve"> A. (1991). </w:t>
      </w:r>
      <w:r w:rsidRPr="00D96F90">
        <w:rPr>
          <w:rFonts w:ascii="Arial" w:hAnsi="Arial" w:cs="Arial"/>
          <w:i/>
          <w:sz w:val="20"/>
          <w:szCs w:val="20"/>
          <w:highlight w:val="yellow"/>
        </w:rPr>
        <w:t>Biochemical Methods</w:t>
      </w:r>
      <w:r w:rsidRPr="00D96F90">
        <w:rPr>
          <w:rFonts w:ascii="Arial" w:hAnsi="Arial" w:cs="Arial"/>
          <w:sz w:val="20"/>
          <w:szCs w:val="20"/>
          <w:highlight w:val="yellow"/>
        </w:rPr>
        <w:t>. Wiley Eastern Limited, New Delhi.</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r w:rsidRPr="00D96F90">
        <w:rPr>
          <w:rFonts w:ascii="Arial" w:hAnsi="Arial" w:cs="Arial"/>
          <w:sz w:val="20"/>
          <w:szCs w:val="20"/>
          <w:highlight w:val="yellow"/>
        </w:rPr>
        <w:t xml:space="preserve">Salim, H. M., Patterson, P. H., </w:t>
      </w:r>
      <w:proofErr w:type="spellStart"/>
      <w:r w:rsidRPr="00D96F90">
        <w:rPr>
          <w:rFonts w:ascii="Arial" w:hAnsi="Arial" w:cs="Arial"/>
          <w:sz w:val="20"/>
          <w:szCs w:val="20"/>
          <w:highlight w:val="yellow"/>
        </w:rPr>
        <w:t>Ricke</w:t>
      </w:r>
      <w:proofErr w:type="spellEnd"/>
      <w:r w:rsidRPr="00D96F90">
        <w:rPr>
          <w:rFonts w:ascii="Arial" w:hAnsi="Arial" w:cs="Arial"/>
          <w:sz w:val="20"/>
          <w:szCs w:val="20"/>
          <w:highlight w:val="yellow"/>
        </w:rPr>
        <w:t xml:space="preserve">, S. C., &amp;amp; Kim, W. K. (2014). Enhancement of microbial </w:t>
      </w:r>
      <w:r w:rsidRPr="00D96F90">
        <w:rPr>
          <w:rFonts w:ascii="Arial" w:hAnsi="Arial" w:cs="Arial"/>
          <w:sz w:val="20"/>
          <w:szCs w:val="20"/>
          <w:highlight w:val="yellow"/>
        </w:rPr>
        <w:tab/>
        <w:t>nitrification to reduce ammonia emission from poultry manure: a review. World&amp;#</w:t>
      </w:r>
      <w:proofErr w:type="gramStart"/>
      <w:r w:rsidRPr="00D96F90">
        <w:rPr>
          <w:rFonts w:ascii="Arial" w:hAnsi="Arial" w:cs="Arial"/>
          <w:sz w:val="20"/>
          <w:szCs w:val="20"/>
          <w:highlight w:val="yellow"/>
        </w:rPr>
        <w:t>39;s</w:t>
      </w:r>
      <w:proofErr w:type="gramEnd"/>
      <w:r w:rsidRPr="00D96F90">
        <w:rPr>
          <w:rFonts w:ascii="Arial" w:hAnsi="Arial" w:cs="Arial"/>
          <w:sz w:val="20"/>
          <w:szCs w:val="20"/>
          <w:highlight w:val="yellow"/>
        </w:rPr>
        <w:t xml:space="preserve"> </w:t>
      </w:r>
      <w:r w:rsidRPr="00D96F90">
        <w:rPr>
          <w:rFonts w:ascii="Arial" w:hAnsi="Arial" w:cs="Arial"/>
          <w:sz w:val="20"/>
          <w:szCs w:val="20"/>
          <w:highlight w:val="yellow"/>
        </w:rPr>
        <w:tab/>
      </w:r>
      <w:r w:rsidRPr="00D96F90">
        <w:rPr>
          <w:rFonts w:ascii="Arial" w:hAnsi="Arial" w:cs="Arial"/>
          <w:i/>
          <w:sz w:val="20"/>
          <w:szCs w:val="20"/>
          <w:highlight w:val="yellow"/>
        </w:rPr>
        <w:t>Poultry Science Journal, 70</w:t>
      </w:r>
      <w:r w:rsidRPr="00D96F90">
        <w:rPr>
          <w:rFonts w:ascii="Arial" w:hAnsi="Arial" w:cs="Arial"/>
          <w:sz w:val="20"/>
          <w:szCs w:val="20"/>
          <w:highlight w:val="yellow"/>
        </w:rPr>
        <w:t>(4):839- 856.</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proofErr w:type="spellStart"/>
      <w:r w:rsidRPr="00D96F90">
        <w:rPr>
          <w:rFonts w:ascii="Arial" w:hAnsi="Arial" w:cs="Arial"/>
          <w:sz w:val="20"/>
          <w:szCs w:val="20"/>
          <w:highlight w:val="yellow"/>
        </w:rPr>
        <w:t>Pudjirahaju</w:t>
      </w:r>
      <w:proofErr w:type="spellEnd"/>
      <w:r w:rsidRPr="00D96F90">
        <w:rPr>
          <w:rFonts w:ascii="Arial" w:hAnsi="Arial" w:cs="Arial"/>
          <w:sz w:val="20"/>
          <w:szCs w:val="20"/>
          <w:highlight w:val="yellow"/>
        </w:rPr>
        <w:t xml:space="preserve">, A. &amp; </w:t>
      </w:r>
      <w:proofErr w:type="spellStart"/>
      <w:r w:rsidRPr="00D96F90">
        <w:rPr>
          <w:rFonts w:ascii="Arial" w:hAnsi="Arial" w:cs="Arial"/>
          <w:sz w:val="20"/>
          <w:szCs w:val="20"/>
          <w:highlight w:val="yellow"/>
        </w:rPr>
        <w:t>Arsyad</w:t>
      </w:r>
      <w:proofErr w:type="spellEnd"/>
      <w:r w:rsidRPr="00D96F90">
        <w:rPr>
          <w:rFonts w:ascii="Arial" w:hAnsi="Arial" w:cs="Arial"/>
          <w:sz w:val="20"/>
          <w:szCs w:val="20"/>
          <w:highlight w:val="yellow"/>
        </w:rPr>
        <w:t xml:space="preserve">, M. (2019). Reducing ammonia gas from chicken manure with lime and </w:t>
      </w:r>
      <w:r w:rsidRPr="00D96F90">
        <w:rPr>
          <w:rFonts w:ascii="Arial" w:hAnsi="Arial" w:cs="Arial"/>
          <w:sz w:val="20"/>
          <w:szCs w:val="20"/>
          <w:highlight w:val="yellow"/>
        </w:rPr>
        <w:tab/>
        <w:t xml:space="preserve">soybean plants. </w:t>
      </w:r>
      <w:r w:rsidRPr="00D96F90">
        <w:rPr>
          <w:rFonts w:ascii="Arial" w:hAnsi="Arial" w:cs="Arial"/>
          <w:i/>
          <w:sz w:val="20"/>
          <w:szCs w:val="20"/>
          <w:highlight w:val="yellow"/>
        </w:rPr>
        <w:t>Environmental Quality Management, 28</w:t>
      </w:r>
      <w:r w:rsidRPr="00D96F90">
        <w:rPr>
          <w:rFonts w:ascii="Arial" w:hAnsi="Arial" w:cs="Arial"/>
          <w:sz w:val="20"/>
          <w:szCs w:val="20"/>
          <w:highlight w:val="yellow"/>
        </w:rPr>
        <w:t>(4), 49-56. </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proofErr w:type="spellStart"/>
      <w:r w:rsidRPr="00D96F90">
        <w:rPr>
          <w:rFonts w:ascii="Arial" w:hAnsi="Arial" w:cs="Arial"/>
          <w:sz w:val="20"/>
          <w:szCs w:val="20"/>
          <w:highlight w:val="yellow"/>
        </w:rPr>
        <w:t>Drapanauskaitė</w:t>
      </w:r>
      <w:proofErr w:type="spellEnd"/>
      <w:r w:rsidRPr="00D96F90">
        <w:rPr>
          <w:rFonts w:ascii="Arial" w:hAnsi="Arial" w:cs="Arial"/>
          <w:sz w:val="20"/>
          <w:szCs w:val="20"/>
          <w:highlight w:val="yellow"/>
        </w:rPr>
        <w:t xml:space="preserve">, D., </w:t>
      </w:r>
      <w:proofErr w:type="spellStart"/>
      <w:r w:rsidRPr="00D96F90">
        <w:rPr>
          <w:rFonts w:ascii="Arial" w:hAnsi="Arial" w:cs="Arial"/>
          <w:sz w:val="20"/>
          <w:szCs w:val="20"/>
          <w:highlight w:val="yellow"/>
        </w:rPr>
        <w:t>Bunevičienė</w:t>
      </w:r>
      <w:proofErr w:type="spellEnd"/>
      <w:r w:rsidRPr="00D96F90">
        <w:rPr>
          <w:rFonts w:ascii="Arial" w:hAnsi="Arial" w:cs="Arial"/>
          <w:sz w:val="20"/>
          <w:szCs w:val="20"/>
          <w:highlight w:val="yellow"/>
        </w:rPr>
        <w:t xml:space="preserve">, K., </w:t>
      </w:r>
      <w:proofErr w:type="spellStart"/>
      <w:r w:rsidRPr="00D96F90">
        <w:rPr>
          <w:rFonts w:ascii="Arial" w:hAnsi="Arial" w:cs="Arial"/>
          <w:sz w:val="20"/>
          <w:szCs w:val="20"/>
          <w:highlight w:val="yellow"/>
        </w:rPr>
        <w:t>Repšienė</w:t>
      </w:r>
      <w:proofErr w:type="spellEnd"/>
      <w:r w:rsidRPr="00D96F90">
        <w:rPr>
          <w:rFonts w:ascii="Arial" w:hAnsi="Arial" w:cs="Arial"/>
          <w:sz w:val="20"/>
          <w:szCs w:val="20"/>
          <w:highlight w:val="yellow"/>
        </w:rPr>
        <w:t xml:space="preserve">, R., </w:t>
      </w:r>
      <w:proofErr w:type="spellStart"/>
      <w:r w:rsidRPr="00D96F90">
        <w:rPr>
          <w:rFonts w:ascii="Arial" w:hAnsi="Arial" w:cs="Arial"/>
          <w:sz w:val="20"/>
          <w:szCs w:val="20"/>
          <w:highlight w:val="yellow"/>
        </w:rPr>
        <w:t>Karčauskienė</w:t>
      </w:r>
      <w:proofErr w:type="spellEnd"/>
      <w:r w:rsidRPr="00D96F90">
        <w:rPr>
          <w:rFonts w:ascii="Arial" w:hAnsi="Arial" w:cs="Arial"/>
          <w:sz w:val="20"/>
          <w:szCs w:val="20"/>
          <w:highlight w:val="yellow"/>
        </w:rPr>
        <w:t xml:space="preserve">, D., </w:t>
      </w:r>
      <w:proofErr w:type="spellStart"/>
      <w:r w:rsidRPr="00D96F90">
        <w:rPr>
          <w:rFonts w:ascii="Arial" w:hAnsi="Arial" w:cs="Arial"/>
          <w:sz w:val="20"/>
          <w:szCs w:val="20"/>
          <w:highlight w:val="yellow"/>
        </w:rPr>
        <w:t>Mažeika</w:t>
      </w:r>
      <w:proofErr w:type="spellEnd"/>
      <w:r w:rsidRPr="00D96F90">
        <w:rPr>
          <w:rFonts w:ascii="Arial" w:hAnsi="Arial" w:cs="Arial"/>
          <w:sz w:val="20"/>
          <w:szCs w:val="20"/>
          <w:highlight w:val="yellow"/>
        </w:rPr>
        <w:t xml:space="preserve">, R., &amp;amp; </w:t>
      </w:r>
      <w:r w:rsidRPr="00D96F90">
        <w:rPr>
          <w:rFonts w:ascii="Arial" w:hAnsi="Arial" w:cs="Arial"/>
          <w:sz w:val="20"/>
          <w:szCs w:val="20"/>
          <w:highlight w:val="yellow"/>
        </w:rPr>
        <w:tab/>
      </w:r>
      <w:proofErr w:type="spellStart"/>
      <w:r w:rsidRPr="00D96F90">
        <w:rPr>
          <w:rFonts w:ascii="Arial" w:hAnsi="Arial" w:cs="Arial"/>
          <w:sz w:val="20"/>
          <w:szCs w:val="20"/>
          <w:highlight w:val="yellow"/>
        </w:rPr>
        <w:t>Baltrusaitis</w:t>
      </w:r>
      <w:proofErr w:type="spellEnd"/>
      <w:r w:rsidRPr="00D96F90">
        <w:rPr>
          <w:rFonts w:ascii="Arial" w:hAnsi="Arial" w:cs="Arial"/>
          <w:sz w:val="20"/>
          <w:szCs w:val="20"/>
          <w:highlight w:val="yellow"/>
        </w:rPr>
        <w:t xml:space="preserve">, J. (2022). The effect of pelletized lime kiln dust combined with biomass </w:t>
      </w:r>
      <w:r w:rsidRPr="00D96F90">
        <w:rPr>
          <w:rFonts w:ascii="Arial" w:hAnsi="Arial" w:cs="Arial"/>
          <w:sz w:val="20"/>
          <w:szCs w:val="20"/>
          <w:highlight w:val="yellow"/>
        </w:rPr>
        <w:tab/>
        <w:t xml:space="preserve">combustion ash on soil properties and plant yield in a three-year field study. </w:t>
      </w:r>
      <w:r w:rsidRPr="00D96F90">
        <w:rPr>
          <w:rFonts w:ascii="Arial" w:hAnsi="Arial" w:cs="Arial"/>
          <w:i/>
          <w:sz w:val="20"/>
          <w:szCs w:val="20"/>
          <w:highlight w:val="yellow"/>
        </w:rPr>
        <w:t>Land, 11</w:t>
      </w:r>
      <w:r w:rsidRPr="00D96F90">
        <w:rPr>
          <w:rFonts w:ascii="Arial" w:hAnsi="Arial" w:cs="Arial"/>
          <w:sz w:val="20"/>
          <w:szCs w:val="20"/>
          <w:highlight w:val="yellow"/>
        </w:rPr>
        <w:t xml:space="preserve">(4), </w:t>
      </w:r>
      <w:r w:rsidRPr="00D96F90">
        <w:rPr>
          <w:rFonts w:ascii="Arial" w:hAnsi="Arial" w:cs="Arial"/>
          <w:sz w:val="20"/>
          <w:szCs w:val="20"/>
          <w:highlight w:val="yellow"/>
        </w:rPr>
        <w:tab/>
        <w:t>521.</w:t>
      </w:r>
    </w:p>
    <w:p w:rsidR="0065586D" w:rsidRPr="00D96F90" w:rsidRDefault="0065586D" w:rsidP="0065586D">
      <w:pPr>
        <w:pStyle w:val="ListParagraph"/>
        <w:spacing w:after="0" w:line="240" w:lineRule="auto"/>
        <w:ind w:hanging="540"/>
        <w:rPr>
          <w:rFonts w:ascii="Arial" w:hAnsi="Arial" w:cs="Arial"/>
          <w:sz w:val="20"/>
          <w:szCs w:val="20"/>
          <w:highlight w:val="yellow"/>
        </w:rPr>
      </w:pP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proofErr w:type="spellStart"/>
      <w:r w:rsidRPr="00D96F90">
        <w:rPr>
          <w:rFonts w:ascii="Arial" w:hAnsi="Arial" w:cs="Arial"/>
          <w:sz w:val="20"/>
          <w:szCs w:val="20"/>
          <w:highlight w:val="yellow"/>
        </w:rPr>
        <w:t>Jowkar</w:t>
      </w:r>
      <w:proofErr w:type="spellEnd"/>
      <w:r w:rsidRPr="00D96F90">
        <w:rPr>
          <w:rFonts w:ascii="Arial" w:hAnsi="Arial" w:cs="Arial"/>
          <w:sz w:val="20"/>
          <w:szCs w:val="20"/>
          <w:highlight w:val="yellow"/>
        </w:rPr>
        <w:t xml:space="preserve">, M. M., </w:t>
      </w:r>
      <w:proofErr w:type="spellStart"/>
      <w:r w:rsidRPr="00D96F90">
        <w:rPr>
          <w:rFonts w:ascii="Arial" w:hAnsi="Arial" w:cs="Arial"/>
          <w:sz w:val="20"/>
          <w:szCs w:val="20"/>
          <w:highlight w:val="yellow"/>
        </w:rPr>
        <w:t>Khalighi</w:t>
      </w:r>
      <w:proofErr w:type="spellEnd"/>
      <w:r w:rsidRPr="00D96F90">
        <w:rPr>
          <w:rFonts w:ascii="Arial" w:hAnsi="Arial" w:cs="Arial"/>
          <w:sz w:val="20"/>
          <w:szCs w:val="20"/>
          <w:highlight w:val="yellow"/>
        </w:rPr>
        <w:t xml:space="preserve">, A., </w:t>
      </w:r>
      <w:proofErr w:type="spellStart"/>
      <w:r w:rsidRPr="00D96F90">
        <w:rPr>
          <w:rFonts w:ascii="Arial" w:hAnsi="Arial" w:cs="Arial"/>
          <w:sz w:val="20"/>
          <w:szCs w:val="20"/>
          <w:highlight w:val="yellow"/>
        </w:rPr>
        <w:t>Kafi</w:t>
      </w:r>
      <w:proofErr w:type="spellEnd"/>
      <w:r w:rsidRPr="00D96F90">
        <w:rPr>
          <w:rFonts w:ascii="Arial" w:hAnsi="Arial" w:cs="Arial"/>
          <w:sz w:val="20"/>
          <w:szCs w:val="20"/>
          <w:highlight w:val="yellow"/>
        </w:rPr>
        <w:t xml:space="preserve">, M., &amp;amp; </w:t>
      </w:r>
      <w:proofErr w:type="spellStart"/>
      <w:r w:rsidRPr="00D96F90">
        <w:rPr>
          <w:rFonts w:ascii="Arial" w:hAnsi="Arial" w:cs="Arial"/>
          <w:sz w:val="20"/>
          <w:szCs w:val="20"/>
          <w:highlight w:val="yellow"/>
        </w:rPr>
        <w:t>Hassanzadeh</w:t>
      </w:r>
      <w:proofErr w:type="spellEnd"/>
      <w:r w:rsidRPr="00D96F90">
        <w:rPr>
          <w:rFonts w:ascii="Arial" w:hAnsi="Arial" w:cs="Arial"/>
          <w:sz w:val="20"/>
          <w:szCs w:val="20"/>
          <w:highlight w:val="yellow"/>
        </w:rPr>
        <w:t xml:space="preserve">, N. (2012). Evaluation of aluminum </w:t>
      </w:r>
      <w:r w:rsidRPr="00D96F90">
        <w:rPr>
          <w:rFonts w:ascii="Arial" w:hAnsi="Arial" w:cs="Arial"/>
          <w:sz w:val="20"/>
          <w:szCs w:val="20"/>
          <w:highlight w:val="yellow"/>
        </w:rPr>
        <w:tab/>
        <w:t xml:space="preserve">sulfate as vase solution biocide on postharvest microbial and physiological properties </w:t>
      </w:r>
      <w:r w:rsidRPr="00D96F90">
        <w:rPr>
          <w:rFonts w:ascii="Arial" w:hAnsi="Arial" w:cs="Arial"/>
          <w:sz w:val="20"/>
          <w:szCs w:val="20"/>
          <w:highlight w:val="yellow"/>
        </w:rPr>
        <w:tab/>
        <w:t>of&amp;#</w:t>
      </w:r>
      <w:proofErr w:type="gramStart"/>
      <w:r w:rsidRPr="00D96F90">
        <w:rPr>
          <w:rFonts w:ascii="Arial" w:hAnsi="Arial" w:cs="Arial"/>
          <w:sz w:val="20"/>
          <w:szCs w:val="20"/>
          <w:highlight w:val="yellow"/>
        </w:rPr>
        <w:t>39;Cherry</w:t>
      </w:r>
      <w:proofErr w:type="gramEnd"/>
      <w:r w:rsidRPr="00D96F90">
        <w:rPr>
          <w:rFonts w:ascii="Arial" w:hAnsi="Arial" w:cs="Arial"/>
          <w:sz w:val="20"/>
          <w:szCs w:val="20"/>
          <w:highlight w:val="yellow"/>
        </w:rPr>
        <w:t xml:space="preserve"> Brandy&amp;#39;rose. </w:t>
      </w:r>
      <w:r w:rsidRPr="00D96F90">
        <w:rPr>
          <w:rFonts w:ascii="Arial" w:hAnsi="Arial" w:cs="Arial"/>
          <w:i/>
          <w:sz w:val="20"/>
          <w:szCs w:val="20"/>
          <w:highlight w:val="yellow"/>
        </w:rPr>
        <w:t xml:space="preserve">In VII International Postharvest Symposium, </w:t>
      </w:r>
      <w:r w:rsidRPr="00D96F90">
        <w:rPr>
          <w:rFonts w:ascii="Arial" w:hAnsi="Arial" w:cs="Arial"/>
          <w:sz w:val="20"/>
          <w:szCs w:val="20"/>
          <w:highlight w:val="yellow"/>
        </w:rPr>
        <w:t>1012:615-</w:t>
      </w:r>
      <w:r w:rsidRPr="00D96F90">
        <w:rPr>
          <w:rFonts w:ascii="Arial" w:hAnsi="Arial" w:cs="Arial"/>
          <w:sz w:val="20"/>
          <w:szCs w:val="20"/>
          <w:highlight w:val="yellow"/>
        </w:rPr>
        <w:tab/>
        <w:t>626.</w:t>
      </w:r>
    </w:p>
    <w:p w:rsidR="0065586D" w:rsidRPr="00D96F90" w:rsidRDefault="0065586D" w:rsidP="0065586D">
      <w:pPr>
        <w:pStyle w:val="ListParagraph"/>
        <w:spacing w:after="0" w:line="240" w:lineRule="auto"/>
        <w:ind w:hanging="540"/>
        <w:jc w:val="both"/>
        <w:rPr>
          <w:rFonts w:ascii="Arial" w:hAnsi="Arial" w:cs="Arial"/>
          <w:sz w:val="20"/>
          <w:szCs w:val="20"/>
          <w:highlight w:val="yellow"/>
        </w:rPr>
      </w:pPr>
    </w:p>
    <w:p w:rsidR="0065586D" w:rsidRPr="00D96F90" w:rsidRDefault="0065586D" w:rsidP="0065586D">
      <w:pPr>
        <w:pStyle w:val="ListParagraph"/>
        <w:numPr>
          <w:ilvl w:val="0"/>
          <w:numId w:val="3"/>
        </w:numPr>
        <w:spacing w:after="0" w:line="240" w:lineRule="auto"/>
        <w:ind w:hanging="540"/>
        <w:jc w:val="both"/>
        <w:rPr>
          <w:rFonts w:ascii="Arial" w:hAnsi="Arial" w:cs="Arial"/>
          <w:sz w:val="20"/>
          <w:szCs w:val="20"/>
          <w:highlight w:val="yellow"/>
        </w:rPr>
      </w:pPr>
      <w:proofErr w:type="spellStart"/>
      <w:r w:rsidRPr="00D96F90">
        <w:rPr>
          <w:rFonts w:ascii="Arial" w:hAnsi="Arial" w:cs="Arial"/>
          <w:sz w:val="20"/>
          <w:szCs w:val="20"/>
          <w:highlight w:val="yellow"/>
        </w:rPr>
        <w:t>Bonfim</w:t>
      </w:r>
      <w:proofErr w:type="spellEnd"/>
      <w:r w:rsidRPr="00D96F90">
        <w:rPr>
          <w:rFonts w:ascii="Arial" w:hAnsi="Arial" w:cs="Arial"/>
          <w:sz w:val="20"/>
          <w:szCs w:val="20"/>
          <w:highlight w:val="yellow"/>
        </w:rPr>
        <w:t xml:space="preserve">-Silva, E., Oliveira, E., </w:t>
      </w:r>
      <w:proofErr w:type="spellStart"/>
      <w:r w:rsidRPr="00D96F90">
        <w:rPr>
          <w:rFonts w:ascii="Arial" w:hAnsi="Arial" w:cs="Arial"/>
          <w:sz w:val="20"/>
          <w:szCs w:val="20"/>
          <w:highlight w:val="yellow"/>
        </w:rPr>
        <w:t>Bezerra</w:t>
      </w:r>
      <w:proofErr w:type="spellEnd"/>
      <w:r w:rsidRPr="00D96F90">
        <w:rPr>
          <w:rFonts w:ascii="Arial" w:hAnsi="Arial" w:cs="Arial"/>
          <w:sz w:val="20"/>
          <w:szCs w:val="20"/>
          <w:highlight w:val="yellow"/>
        </w:rPr>
        <w:t xml:space="preserve">, M., </w:t>
      </w:r>
      <w:proofErr w:type="spellStart"/>
      <w:r w:rsidRPr="00D96F90">
        <w:rPr>
          <w:rFonts w:ascii="Arial" w:hAnsi="Arial" w:cs="Arial"/>
          <w:sz w:val="20"/>
          <w:szCs w:val="20"/>
          <w:highlight w:val="yellow"/>
        </w:rPr>
        <w:t>Castañon</w:t>
      </w:r>
      <w:proofErr w:type="spellEnd"/>
      <w:r w:rsidRPr="00D96F90">
        <w:rPr>
          <w:rFonts w:ascii="Arial" w:hAnsi="Arial" w:cs="Arial"/>
          <w:sz w:val="20"/>
          <w:szCs w:val="20"/>
          <w:highlight w:val="yellow"/>
        </w:rPr>
        <w:t xml:space="preserve">, T., </w:t>
      </w:r>
      <w:proofErr w:type="spellStart"/>
      <w:r w:rsidRPr="00D96F90">
        <w:rPr>
          <w:rFonts w:ascii="Arial" w:hAnsi="Arial" w:cs="Arial"/>
          <w:sz w:val="20"/>
          <w:szCs w:val="20"/>
          <w:highlight w:val="yellow"/>
        </w:rPr>
        <w:t>Fenner</w:t>
      </w:r>
      <w:proofErr w:type="spellEnd"/>
      <w:r w:rsidRPr="00D96F90">
        <w:rPr>
          <w:rFonts w:ascii="Arial" w:hAnsi="Arial" w:cs="Arial"/>
          <w:sz w:val="20"/>
          <w:szCs w:val="20"/>
          <w:highlight w:val="yellow"/>
        </w:rPr>
        <w:t xml:space="preserve">, W., &amp;amp; Silva, T. (2017). </w:t>
      </w:r>
      <w:r w:rsidRPr="00D96F90">
        <w:rPr>
          <w:rFonts w:ascii="Arial" w:hAnsi="Arial" w:cs="Arial"/>
          <w:sz w:val="20"/>
          <w:szCs w:val="20"/>
          <w:highlight w:val="yellow"/>
        </w:rPr>
        <w:tab/>
        <w:t xml:space="preserve">Application of wood ash, </w:t>
      </w:r>
      <w:proofErr w:type="spellStart"/>
      <w:r w:rsidRPr="00D96F90">
        <w:rPr>
          <w:rFonts w:ascii="Arial" w:hAnsi="Arial" w:cs="Arial"/>
          <w:sz w:val="20"/>
          <w:szCs w:val="20"/>
          <w:highlight w:val="yellow"/>
        </w:rPr>
        <w:t>organomineral</w:t>
      </w:r>
      <w:proofErr w:type="spellEnd"/>
      <w:r w:rsidRPr="00D96F90">
        <w:rPr>
          <w:rFonts w:ascii="Arial" w:hAnsi="Arial" w:cs="Arial"/>
          <w:sz w:val="20"/>
          <w:szCs w:val="20"/>
          <w:highlight w:val="yellow"/>
        </w:rPr>
        <w:t xml:space="preserve"> and mineral fertilizers to increase the growth of </w:t>
      </w:r>
      <w:r w:rsidRPr="00D96F90">
        <w:rPr>
          <w:rFonts w:ascii="Arial" w:hAnsi="Arial" w:cs="Arial"/>
          <w:sz w:val="20"/>
          <w:szCs w:val="20"/>
          <w:highlight w:val="yellow"/>
        </w:rPr>
        <w:tab/>
        <w:t>arugula (</w:t>
      </w:r>
      <w:proofErr w:type="spellStart"/>
      <w:r w:rsidRPr="00D96F90">
        <w:rPr>
          <w:rFonts w:ascii="Arial" w:hAnsi="Arial" w:cs="Arial"/>
          <w:i/>
          <w:sz w:val="20"/>
          <w:szCs w:val="20"/>
          <w:highlight w:val="yellow"/>
        </w:rPr>
        <w:t>Eruca</w:t>
      </w:r>
      <w:proofErr w:type="spellEnd"/>
      <w:r w:rsidRPr="00D96F90">
        <w:rPr>
          <w:rFonts w:ascii="Arial" w:hAnsi="Arial" w:cs="Arial"/>
          <w:i/>
          <w:sz w:val="20"/>
          <w:szCs w:val="20"/>
          <w:highlight w:val="yellow"/>
        </w:rPr>
        <w:t xml:space="preserve"> sativa</w:t>
      </w:r>
      <w:r w:rsidRPr="00D96F90">
        <w:rPr>
          <w:rFonts w:ascii="Arial" w:hAnsi="Arial" w:cs="Arial"/>
          <w:sz w:val="20"/>
          <w:szCs w:val="20"/>
          <w:highlight w:val="yellow"/>
        </w:rPr>
        <w:t xml:space="preserve"> Miller) at different base saturation on </w:t>
      </w:r>
      <w:proofErr w:type="spellStart"/>
      <w:r w:rsidRPr="00D96F90">
        <w:rPr>
          <w:rFonts w:ascii="Arial" w:hAnsi="Arial" w:cs="Arial"/>
          <w:sz w:val="20"/>
          <w:szCs w:val="20"/>
          <w:highlight w:val="yellow"/>
        </w:rPr>
        <w:t>Oxisol</w:t>
      </w:r>
      <w:proofErr w:type="spellEnd"/>
      <w:r w:rsidRPr="00D96F90">
        <w:rPr>
          <w:rFonts w:ascii="Arial" w:hAnsi="Arial" w:cs="Arial"/>
          <w:sz w:val="20"/>
          <w:szCs w:val="20"/>
          <w:highlight w:val="yellow"/>
        </w:rPr>
        <w:t xml:space="preserve">. </w:t>
      </w:r>
      <w:r w:rsidRPr="00D96F90">
        <w:rPr>
          <w:rFonts w:ascii="Arial" w:hAnsi="Arial" w:cs="Arial"/>
          <w:i/>
          <w:sz w:val="20"/>
          <w:szCs w:val="20"/>
          <w:highlight w:val="yellow"/>
        </w:rPr>
        <w:t xml:space="preserve">Journal of </w:t>
      </w:r>
      <w:r w:rsidRPr="00D96F90">
        <w:rPr>
          <w:rFonts w:ascii="Arial" w:hAnsi="Arial" w:cs="Arial"/>
          <w:i/>
          <w:sz w:val="20"/>
          <w:szCs w:val="20"/>
          <w:highlight w:val="yellow"/>
        </w:rPr>
        <w:tab/>
        <w:t>Experimental Agriculture International, 17</w:t>
      </w:r>
      <w:r w:rsidRPr="00D96F90">
        <w:rPr>
          <w:rFonts w:ascii="Arial" w:hAnsi="Arial" w:cs="Arial"/>
          <w:sz w:val="20"/>
          <w:szCs w:val="20"/>
          <w:highlight w:val="yellow"/>
        </w:rPr>
        <w:t>(3), 1-6.</w:t>
      </w:r>
    </w:p>
    <w:p w:rsidR="0065586D" w:rsidRPr="006F4515" w:rsidRDefault="0065586D" w:rsidP="0065586D">
      <w:pPr>
        <w:pStyle w:val="ListParagraph"/>
        <w:spacing w:after="0"/>
        <w:ind w:hanging="540"/>
        <w:rPr>
          <w:rFonts w:ascii="Arial" w:hAnsi="Arial" w:cs="Arial"/>
          <w:sz w:val="20"/>
          <w:szCs w:val="20"/>
        </w:rPr>
      </w:pPr>
    </w:p>
    <w:p w:rsidR="0065586D" w:rsidRDefault="0065586D" w:rsidP="0065586D">
      <w:pPr>
        <w:spacing w:line="480" w:lineRule="auto"/>
        <w:jc w:val="center"/>
        <w:rPr>
          <w:rFonts w:ascii="Arial" w:eastAsia="Arial" w:hAnsi="Arial" w:cs="Arial"/>
          <w:b/>
          <w:bCs/>
          <w:color w:val="222222"/>
          <w:sz w:val="20"/>
          <w:szCs w:val="20"/>
          <w:highlight w:val="white"/>
        </w:rPr>
      </w:pPr>
    </w:p>
    <w:p w:rsidR="0065586D" w:rsidRDefault="0065586D" w:rsidP="0065586D">
      <w:pPr>
        <w:spacing w:line="480" w:lineRule="auto"/>
        <w:jc w:val="center"/>
        <w:rPr>
          <w:rFonts w:ascii="Arial" w:eastAsia="Arial" w:hAnsi="Arial" w:cs="Arial"/>
          <w:b/>
          <w:bCs/>
          <w:color w:val="222222"/>
          <w:sz w:val="20"/>
          <w:szCs w:val="20"/>
          <w:highlight w:val="white"/>
        </w:rPr>
      </w:pPr>
    </w:p>
    <w:p w:rsidR="0065586D" w:rsidRDefault="0065586D" w:rsidP="0065586D">
      <w:pPr>
        <w:spacing w:line="480" w:lineRule="auto"/>
        <w:jc w:val="center"/>
        <w:rPr>
          <w:rFonts w:ascii="Arial" w:eastAsia="Arial" w:hAnsi="Arial" w:cs="Arial"/>
          <w:b/>
          <w:bCs/>
          <w:color w:val="222222"/>
          <w:sz w:val="20"/>
          <w:szCs w:val="20"/>
          <w:highlight w:val="white"/>
        </w:rPr>
      </w:pPr>
    </w:p>
    <w:p w:rsidR="0065586D" w:rsidRDefault="0065586D" w:rsidP="0065586D">
      <w:pPr>
        <w:spacing w:line="480" w:lineRule="auto"/>
        <w:jc w:val="center"/>
        <w:rPr>
          <w:rFonts w:ascii="Arial" w:eastAsia="Arial" w:hAnsi="Arial" w:cs="Arial"/>
          <w:b/>
          <w:bCs/>
          <w:color w:val="222222"/>
          <w:sz w:val="20"/>
          <w:szCs w:val="20"/>
          <w:highlight w:val="white"/>
        </w:rPr>
      </w:pPr>
    </w:p>
    <w:p w:rsidR="0065586D" w:rsidRDefault="0065586D" w:rsidP="0065586D">
      <w:pPr>
        <w:spacing w:line="480" w:lineRule="auto"/>
        <w:jc w:val="center"/>
        <w:rPr>
          <w:rFonts w:ascii="Arial" w:eastAsia="Arial" w:hAnsi="Arial" w:cs="Arial"/>
          <w:b/>
          <w:bCs/>
          <w:color w:val="222222"/>
          <w:sz w:val="20"/>
          <w:szCs w:val="20"/>
          <w:highlight w:val="white"/>
        </w:rPr>
      </w:pPr>
    </w:p>
    <w:p w:rsidR="0065586D" w:rsidRDefault="0065586D" w:rsidP="0065586D">
      <w:pPr>
        <w:spacing w:line="480" w:lineRule="auto"/>
        <w:jc w:val="center"/>
        <w:rPr>
          <w:rFonts w:ascii="Arial" w:eastAsia="Arial" w:hAnsi="Arial" w:cs="Arial"/>
          <w:b/>
          <w:bCs/>
          <w:color w:val="222222"/>
          <w:sz w:val="20"/>
          <w:szCs w:val="20"/>
          <w:highlight w:val="white"/>
        </w:rPr>
      </w:pPr>
    </w:p>
    <w:p w:rsidR="0065586D" w:rsidRDefault="0065586D" w:rsidP="0065586D">
      <w:pPr>
        <w:spacing w:line="480" w:lineRule="auto"/>
        <w:jc w:val="center"/>
        <w:rPr>
          <w:rFonts w:ascii="Arial" w:eastAsia="Arial" w:hAnsi="Arial" w:cs="Arial"/>
          <w:b/>
          <w:bCs/>
          <w:color w:val="222222"/>
          <w:sz w:val="20"/>
          <w:szCs w:val="20"/>
          <w:highlight w:val="white"/>
        </w:rPr>
      </w:pPr>
    </w:p>
    <w:p w:rsidR="0065586D" w:rsidRDefault="0065586D" w:rsidP="0065586D">
      <w:pPr>
        <w:spacing w:line="480" w:lineRule="auto"/>
        <w:jc w:val="center"/>
        <w:rPr>
          <w:rFonts w:ascii="Arial" w:eastAsia="Arial" w:hAnsi="Arial" w:cs="Arial"/>
          <w:b/>
          <w:bCs/>
          <w:color w:val="222222"/>
          <w:sz w:val="20"/>
          <w:szCs w:val="20"/>
          <w:highlight w:val="white"/>
        </w:rPr>
      </w:pPr>
    </w:p>
    <w:p w:rsidR="0065586D" w:rsidRDefault="0065586D" w:rsidP="0065586D">
      <w:pPr>
        <w:spacing w:line="480" w:lineRule="auto"/>
        <w:jc w:val="center"/>
        <w:rPr>
          <w:rFonts w:ascii="Arial" w:eastAsia="Arial" w:hAnsi="Arial" w:cs="Arial"/>
          <w:b/>
          <w:bCs/>
          <w:color w:val="222222"/>
          <w:sz w:val="20"/>
          <w:szCs w:val="20"/>
          <w:highlight w:val="white"/>
        </w:rPr>
      </w:pPr>
    </w:p>
    <w:p w:rsidR="0065586D" w:rsidRDefault="0065586D" w:rsidP="0065586D">
      <w:pPr>
        <w:spacing w:line="480" w:lineRule="auto"/>
        <w:jc w:val="center"/>
        <w:rPr>
          <w:rFonts w:ascii="Arial" w:eastAsia="Arial" w:hAnsi="Arial" w:cs="Arial"/>
          <w:b/>
          <w:bCs/>
          <w:color w:val="222222"/>
          <w:sz w:val="20"/>
          <w:szCs w:val="20"/>
          <w:highlight w:val="white"/>
        </w:rPr>
      </w:pPr>
    </w:p>
    <w:p w:rsidR="000459BD" w:rsidRDefault="000459BD">
      <w:bookmarkStart w:id="0" w:name="_GoBack"/>
      <w:bookmarkEnd w:id="0"/>
    </w:p>
    <w:sectPr w:rsidR="000459BD" w:rsidSect="005915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206" w:rsidRDefault="00500206">
      <w:pPr>
        <w:spacing w:after="0" w:line="240" w:lineRule="auto"/>
      </w:pPr>
      <w:r>
        <w:separator/>
      </w:r>
    </w:p>
  </w:endnote>
  <w:endnote w:type="continuationSeparator" w:id="0">
    <w:p w:rsidR="00500206" w:rsidRDefault="0050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E05" w:rsidRDefault="00500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E05" w:rsidRDefault="00500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E05" w:rsidRDefault="00500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206" w:rsidRDefault="00500206">
      <w:pPr>
        <w:spacing w:after="0" w:line="240" w:lineRule="auto"/>
      </w:pPr>
      <w:r>
        <w:separator/>
      </w:r>
    </w:p>
  </w:footnote>
  <w:footnote w:type="continuationSeparator" w:id="0">
    <w:p w:rsidR="00500206" w:rsidRDefault="00500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E05" w:rsidRDefault="005002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40329" o:spid="_x0000_s2050"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E05" w:rsidRDefault="005002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40330" o:spid="_x0000_s2051"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E05" w:rsidRDefault="005002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40328"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83D38"/>
    <w:multiLevelType w:val="hybridMultilevel"/>
    <w:tmpl w:val="BA7CB450"/>
    <w:lvl w:ilvl="0" w:tplc="8300274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D882098"/>
    <w:multiLevelType w:val="multilevel"/>
    <w:tmpl w:val="4D882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9060B9"/>
    <w:multiLevelType w:val="hybridMultilevel"/>
    <w:tmpl w:val="BA7CB450"/>
    <w:lvl w:ilvl="0" w:tplc="8300274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586D"/>
    <w:rsid w:val="000459BD"/>
    <w:rsid w:val="00170565"/>
    <w:rsid w:val="00321463"/>
    <w:rsid w:val="00500206"/>
    <w:rsid w:val="0065586D"/>
    <w:rsid w:val="006D031E"/>
    <w:rsid w:val="00C7330B"/>
    <w:rsid w:val="00DE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4AA962"/>
  <w15:docId w15:val="{CD092D1B-1230-4FAD-A0D8-C37117BB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6D"/>
    <w:pPr>
      <w:spacing w:after="160" w:line="259" w:lineRule="auto"/>
    </w:pPr>
    <w:rPr>
      <w:rFonts w:ascii="Calibri" w:eastAsia="Calibri" w:hAnsi="Calibri" w:cs="Calibri"/>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3">
    <w:name w:val="_Style 13"/>
    <w:basedOn w:val="TableNormal"/>
    <w:qFormat/>
    <w:rsid w:val="0065586D"/>
    <w:pPr>
      <w:spacing w:after="0" w:line="240" w:lineRule="auto"/>
    </w:pPr>
    <w:rPr>
      <w:rFonts w:ascii="Calibri" w:eastAsia="Calibri" w:hAnsi="Calibri" w:cs="Calibri"/>
      <w:sz w:val="20"/>
      <w:szCs w:val="20"/>
      <w:lang w:val="en-PH" w:eastAsia="en-PH"/>
    </w:rPr>
    <w:tblPr/>
  </w:style>
  <w:style w:type="table" w:customStyle="1" w:styleId="Style14">
    <w:name w:val="_Style 14"/>
    <w:basedOn w:val="TableNormal"/>
    <w:qFormat/>
    <w:rsid w:val="0065586D"/>
    <w:pPr>
      <w:spacing w:after="0" w:line="240" w:lineRule="auto"/>
    </w:pPr>
    <w:rPr>
      <w:rFonts w:ascii="Calibri" w:eastAsia="Calibri" w:hAnsi="Calibri" w:cs="Calibri"/>
      <w:sz w:val="20"/>
      <w:szCs w:val="20"/>
      <w:lang w:val="en-PH" w:eastAsia="en-PH"/>
    </w:rPr>
    <w:tblPr/>
  </w:style>
  <w:style w:type="paragraph" w:styleId="ListParagraph">
    <w:name w:val="List Paragraph"/>
    <w:basedOn w:val="Normal"/>
    <w:uiPriority w:val="99"/>
    <w:unhideWhenUsed/>
    <w:rsid w:val="0065586D"/>
    <w:pPr>
      <w:ind w:left="720"/>
      <w:contextualSpacing/>
    </w:pPr>
  </w:style>
  <w:style w:type="character" w:styleId="Hyperlink">
    <w:name w:val="Hyperlink"/>
    <w:basedOn w:val="DefaultParagraphFont"/>
    <w:uiPriority w:val="99"/>
    <w:unhideWhenUsed/>
    <w:rsid w:val="0065586D"/>
    <w:rPr>
      <w:color w:val="0000FF" w:themeColor="hyperlink"/>
      <w:u w:val="single"/>
    </w:rPr>
  </w:style>
  <w:style w:type="paragraph" w:styleId="Header">
    <w:name w:val="header"/>
    <w:basedOn w:val="Normal"/>
    <w:link w:val="HeaderChar"/>
    <w:uiPriority w:val="99"/>
    <w:unhideWhenUsed/>
    <w:rsid w:val="00655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6D"/>
    <w:rPr>
      <w:rFonts w:ascii="Calibri" w:eastAsia="Calibri" w:hAnsi="Calibri" w:cs="Calibri"/>
      <w:lang w:val="en-PH" w:eastAsia="en-PH"/>
    </w:rPr>
  </w:style>
  <w:style w:type="paragraph" w:styleId="Footer">
    <w:name w:val="footer"/>
    <w:basedOn w:val="Normal"/>
    <w:link w:val="FooterChar"/>
    <w:uiPriority w:val="99"/>
    <w:unhideWhenUsed/>
    <w:rsid w:val="00655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6D"/>
    <w:rPr>
      <w:rFonts w:ascii="Calibri" w:eastAsia="Calibri" w:hAnsi="Calibri" w:cs="Calibri"/>
      <w:lang w:val="en-PH" w:eastAsia="en-PH"/>
    </w:rPr>
  </w:style>
  <w:style w:type="paragraph" w:styleId="NormalWeb">
    <w:name w:val="Normal (Web)"/>
    <w:basedOn w:val="Normal"/>
    <w:rsid w:val="0065586D"/>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styleId="BodyText">
    <w:name w:val="Body Text"/>
    <w:basedOn w:val="Normal"/>
    <w:link w:val="BodyTextChar"/>
    <w:rsid w:val="0065586D"/>
    <w:pPr>
      <w:spacing w:after="0" w:line="240" w:lineRule="auto"/>
      <w:jc w:val="both"/>
    </w:pPr>
    <w:rPr>
      <w:rFonts w:ascii="Helvetica" w:eastAsia="MS Mincho" w:hAnsi="Helvetica" w:cs="Times New Roman"/>
      <w:sz w:val="24"/>
      <w:szCs w:val="24"/>
      <w:lang w:val="fr-FR"/>
    </w:rPr>
  </w:style>
  <w:style w:type="character" w:customStyle="1" w:styleId="BodyTextChar">
    <w:name w:val="Body Text Char"/>
    <w:basedOn w:val="DefaultParagraphFont"/>
    <w:link w:val="BodyText"/>
    <w:rsid w:val="0065586D"/>
    <w:rPr>
      <w:rFonts w:ascii="Helvetica" w:eastAsia="MS Mincho" w:hAnsi="Helvetica"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3431</Words>
  <Characters>19563</Characters>
  <Application>Microsoft Office Word</Application>
  <DocSecurity>0</DocSecurity>
  <Lines>163</Lines>
  <Paragraphs>45</Paragraphs>
  <ScaleCrop>false</ScaleCrop>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1167</cp:lastModifiedBy>
  <cp:revision>2</cp:revision>
  <dcterms:created xsi:type="dcterms:W3CDTF">2025-02-15T11:39:00Z</dcterms:created>
  <dcterms:modified xsi:type="dcterms:W3CDTF">2025-02-15T04:26:00Z</dcterms:modified>
</cp:coreProperties>
</file>