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7629"/>
      </w:tblGrid>
      <w:tr w:rsidR="00912571" w:rsidRPr="00DB5C98" w14:paraId="3A3578C2" w14:textId="77777777" w:rsidTr="00905B01">
        <w:trPr>
          <w:trHeight w:val="290"/>
        </w:trPr>
        <w:tc>
          <w:tcPr>
            <w:tcW w:w="8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36ED27" w14:textId="77777777" w:rsidR="00912571" w:rsidRPr="00DB5C98" w:rsidRDefault="009125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5C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41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A89D" w14:textId="77777777" w:rsidR="00912571" w:rsidRPr="00DB5C98" w:rsidRDefault="009125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4" w:history="1">
              <w:r w:rsidRPr="00DB5C98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</w:rPr>
                <w:t>Journal of Advances in Food Science &amp; Technology</w:t>
              </w:r>
            </w:hyperlink>
          </w:p>
        </w:tc>
      </w:tr>
      <w:tr w:rsidR="00912571" w:rsidRPr="00DB5C98" w14:paraId="4D401CDA" w14:textId="77777777" w:rsidTr="00905B01">
        <w:trPr>
          <w:trHeight w:val="290"/>
        </w:trPr>
        <w:tc>
          <w:tcPr>
            <w:tcW w:w="8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668FB5" w14:textId="77777777" w:rsidR="00912571" w:rsidRPr="00DB5C98" w:rsidRDefault="009125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5C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41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3D570" w14:textId="77777777" w:rsidR="00912571" w:rsidRPr="00DB5C98" w:rsidRDefault="009125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Ms_JAFSAT_12833</w:t>
            </w:r>
          </w:p>
        </w:tc>
      </w:tr>
      <w:tr w:rsidR="00912571" w:rsidRPr="00DB5C98" w14:paraId="7235A9C5" w14:textId="77777777" w:rsidTr="00905B01">
        <w:trPr>
          <w:trHeight w:val="650"/>
        </w:trPr>
        <w:tc>
          <w:tcPr>
            <w:tcW w:w="8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9FB801" w14:textId="77777777" w:rsidR="00912571" w:rsidRPr="00DB5C98" w:rsidRDefault="009125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5C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41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2CBEB" w14:textId="77777777" w:rsidR="00912571" w:rsidRPr="00DB5C98" w:rsidRDefault="009125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5C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Differential </w:t>
            </w:r>
            <w:proofErr w:type="spellStart"/>
            <w:r w:rsidRPr="00DB5C98">
              <w:rPr>
                <w:rFonts w:ascii="Arial" w:hAnsi="Arial" w:cs="Arial"/>
                <w:b/>
                <w:sz w:val="20"/>
                <w:szCs w:val="20"/>
                <w:lang w:val="en-GB"/>
              </w:rPr>
              <w:t>Maltosazone</w:t>
            </w:r>
            <w:proofErr w:type="spellEnd"/>
            <w:r w:rsidRPr="00DB5C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Crystal Formation in Selected Packaged Food Products Using the </w:t>
            </w:r>
            <w:proofErr w:type="spellStart"/>
            <w:r w:rsidRPr="00DB5C98">
              <w:rPr>
                <w:rFonts w:ascii="Arial" w:hAnsi="Arial" w:cs="Arial"/>
                <w:b/>
                <w:sz w:val="20"/>
                <w:szCs w:val="20"/>
                <w:lang w:val="en-GB"/>
              </w:rPr>
              <w:t>Osazone</w:t>
            </w:r>
            <w:proofErr w:type="spellEnd"/>
            <w:r w:rsidRPr="00DB5C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Test</w:t>
            </w:r>
          </w:p>
        </w:tc>
      </w:tr>
      <w:tr w:rsidR="00912571" w:rsidRPr="00DB5C98" w14:paraId="247CA482" w14:textId="77777777" w:rsidTr="00905B01">
        <w:trPr>
          <w:trHeight w:val="332"/>
        </w:trPr>
        <w:tc>
          <w:tcPr>
            <w:tcW w:w="8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BEDBA3" w14:textId="77777777" w:rsidR="00912571" w:rsidRPr="00DB5C98" w:rsidRDefault="009125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5C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41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B370" w14:textId="77777777" w:rsidR="00912571" w:rsidRPr="00DB5C98" w:rsidRDefault="009125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CBFDA61" w14:textId="77777777" w:rsidR="007C16D8" w:rsidRPr="00DB5C98" w:rsidRDefault="007C16D8">
      <w:pPr>
        <w:rPr>
          <w:rFonts w:ascii="Arial" w:hAnsi="Arial" w:cs="Arial"/>
          <w:sz w:val="20"/>
          <w:szCs w:val="20"/>
        </w:rPr>
      </w:pPr>
    </w:p>
    <w:p w14:paraId="47299C32" w14:textId="77777777" w:rsidR="00912571" w:rsidRPr="00DB5C98" w:rsidRDefault="00912571">
      <w:pPr>
        <w:rPr>
          <w:rFonts w:ascii="Arial" w:hAnsi="Arial" w:cs="Arial"/>
          <w:sz w:val="20"/>
          <w:szCs w:val="20"/>
        </w:rPr>
      </w:pPr>
    </w:p>
    <w:p w14:paraId="225A05A7" w14:textId="77777777" w:rsidR="00912571" w:rsidRPr="00DB5C98" w:rsidRDefault="0091257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820"/>
        <w:gridCol w:w="1525"/>
      </w:tblGrid>
      <w:tr w:rsidR="00912571" w:rsidRPr="00DB5C98" w14:paraId="7671FC27" w14:textId="77777777" w:rsidTr="0091257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297A930" w14:textId="77777777" w:rsidR="00912571" w:rsidRPr="00DB5C98" w:rsidRDefault="009125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5C98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DB5C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3F428841" w14:textId="77777777" w:rsidR="00912571" w:rsidRPr="00DB5C98" w:rsidRDefault="009125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12571" w:rsidRPr="00DB5C98" w14:paraId="665BC3EA" w14:textId="77777777" w:rsidTr="001519D1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35C82" w14:textId="77777777" w:rsidR="00912571" w:rsidRPr="00DB5C98" w:rsidRDefault="009125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8FE9" w14:textId="77777777" w:rsidR="00912571" w:rsidRPr="00DB5C98" w:rsidRDefault="009125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5C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17DCFB0" w14:textId="77777777" w:rsidR="00912571" w:rsidRPr="00DB5C98" w:rsidRDefault="009125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5C9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57F2" w14:textId="77777777" w:rsidR="00912571" w:rsidRPr="00DB5C98" w:rsidRDefault="009125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B5C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Feedback</w:t>
            </w:r>
            <w:r w:rsidRPr="00DB5C9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B5C98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912571" w:rsidRPr="00DB5C98" w14:paraId="1C3DBA1C" w14:textId="77777777" w:rsidTr="001519D1">
        <w:trPr>
          <w:trHeight w:val="1264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7E283" w14:textId="77777777" w:rsidR="00912571" w:rsidRPr="00DB5C98" w:rsidRDefault="009125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739BB1E" w14:textId="77777777" w:rsidR="00912571" w:rsidRPr="00DB5C98" w:rsidRDefault="0091257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4D95" w14:textId="77777777" w:rsidR="001519D1" w:rsidRPr="00DB5C98" w:rsidRDefault="001519D1" w:rsidP="001519D1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DB5C9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The document is a research paper titled "Differential </w:t>
            </w:r>
            <w:proofErr w:type="spellStart"/>
            <w:r w:rsidRPr="00DB5C9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Maltosazone</w:t>
            </w:r>
            <w:proofErr w:type="spellEnd"/>
            <w:r w:rsidRPr="00DB5C9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Crystal Formation in Selected Packaged Food Products Using the </w:t>
            </w:r>
            <w:proofErr w:type="spellStart"/>
            <w:r w:rsidRPr="00DB5C9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Osazone</w:t>
            </w:r>
            <w:proofErr w:type="spellEnd"/>
            <w:r w:rsidRPr="00DB5C9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Test". It explores the use of the </w:t>
            </w:r>
            <w:proofErr w:type="spellStart"/>
            <w:r w:rsidRPr="00DB5C9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Osazone</w:t>
            </w:r>
            <w:proofErr w:type="spellEnd"/>
            <w:r w:rsidRPr="00DB5C9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test to distinguish maltose in various packaged food products.</w:t>
            </w:r>
          </w:p>
          <w:p w14:paraId="04C92540" w14:textId="77777777" w:rsidR="00912571" w:rsidRPr="00DB5C98" w:rsidRDefault="00912571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CBE" w14:textId="77777777" w:rsidR="00912571" w:rsidRPr="00DB5C98" w:rsidRDefault="009125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2571" w:rsidRPr="00DB5C98" w14:paraId="7B962ACD" w14:textId="77777777" w:rsidTr="001519D1">
        <w:trPr>
          <w:trHeight w:val="1262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989C9" w14:textId="77777777" w:rsidR="00912571" w:rsidRPr="00DB5C98" w:rsidRDefault="009125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9C78DAD" w14:textId="77777777" w:rsidR="00912571" w:rsidRPr="00DB5C98" w:rsidRDefault="009125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79325BF" w14:textId="77777777" w:rsidR="00912571" w:rsidRPr="00DB5C98" w:rsidRDefault="009125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12FC" w14:textId="77777777" w:rsidR="00912571" w:rsidRPr="00DB5C98" w:rsidRDefault="001519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3E77" w14:textId="77777777" w:rsidR="00912571" w:rsidRPr="00DB5C98" w:rsidRDefault="009125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2571" w:rsidRPr="00DB5C98" w14:paraId="7F32D0C3" w14:textId="77777777" w:rsidTr="001519D1">
        <w:trPr>
          <w:trHeight w:val="1262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4F6EE" w14:textId="77777777" w:rsidR="00912571" w:rsidRPr="00DB5C98" w:rsidRDefault="00912571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5C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2B1D710" w14:textId="77777777" w:rsidR="00912571" w:rsidRPr="00DB5C98" w:rsidRDefault="009125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90B" w14:textId="77777777" w:rsidR="00912571" w:rsidRPr="00DB5C98" w:rsidRDefault="00C85670" w:rsidP="00C856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C98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>Comparison with other methods: The comparison with HPLC, GC and enzymatic methods is prepared, but the comparison measures (sensitivity, cost, speed) could be better detailed.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BC" w14:textId="77777777" w:rsidR="00912571" w:rsidRPr="00DB5C98" w:rsidRDefault="009125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2571" w:rsidRPr="00DB5C98" w14:paraId="4ADBD968" w14:textId="77777777" w:rsidTr="001519D1">
        <w:trPr>
          <w:trHeight w:val="704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FB915" w14:textId="77777777" w:rsidR="00912571" w:rsidRPr="00DB5C98" w:rsidRDefault="00912571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DB5C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85D" w14:textId="77777777" w:rsidR="00912571" w:rsidRPr="00DB5C98" w:rsidRDefault="001519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DB5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DB5C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correct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2A8A" w14:textId="77777777" w:rsidR="00912571" w:rsidRPr="00DB5C98" w:rsidRDefault="009125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2571" w:rsidRPr="00DB5C98" w14:paraId="18610034" w14:textId="77777777" w:rsidTr="001519D1">
        <w:trPr>
          <w:trHeight w:val="703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04C8F" w14:textId="77777777" w:rsidR="00912571" w:rsidRPr="00DB5C98" w:rsidRDefault="009125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0BBA" w14:textId="77777777" w:rsidR="00912571" w:rsidRPr="00DB5C98" w:rsidRDefault="001519D1" w:rsidP="001519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C98">
              <w:rPr>
                <w:rFonts w:ascii="Arial" w:hAnsi="Arial" w:cs="Arial"/>
                <w:bCs/>
                <w:sz w:val="20"/>
                <w:szCs w:val="20"/>
                <w:lang w:val="en-CA"/>
              </w:rPr>
              <w:t>Some references old sources</w:t>
            </w:r>
            <w:r w:rsidRPr="00DB5C98">
              <w:rPr>
                <w:rFonts w:ascii="Arial" w:hAnsi="Arial" w:cs="Arial"/>
                <w:bCs/>
                <w:color w:val="FF0000"/>
                <w:sz w:val="20"/>
                <w:szCs w:val="20"/>
                <w:lang w:val="en-CA"/>
              </w:rPr>
              <w:t xml:space="preserve">: </w:t>
            </w:r>
            <w:r w:rsidRPr="00DB5C98">
              <w:rPr>
                <w:rFonts w:ascii="Arial" w:hAnsi="Arial" w:cs="Arial"/>
                <w:b/>
                <w:color w:val="FF0000"/>
                <w:sz w:val="20"/>
                <w:szCs w:val="20"/>
                <w:lang w:val="en-CA"/>
              </w:rPr>
              <w:t>3, 15-20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A920" w14:textId="77777777" w:rsidR="00912571" w:rsidRPr="00DB5C98" w:rsidRDefault="009125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2571" w:rsidRPr="00DB5C98" w14:paraId="4B85E8B5" w14:textId="77777777" w:rsidTr="001519D1">
        <w:trPr>
          <w:trHeight w:val="386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17A9E" w14:textId="77777777" w:rsidR="00912571" w:rsidRPr="00DB5C98" w:rsidRDefault="00912571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DB5C98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3CD9F449" w14:textId="77777777" w:rsidR="00912571" w:rsidRPr="00DB5C98" w:rsidRDefault="009125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C26" w14:textId="77777777" w:rsidR="001519D1" w:rsidRPr="00DB5C98" w:rsidRDefault="001519D1" w:rsidP="001519D1">
            <w:pPr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</w:pPr>
            <w:r w:rsidRPr="00DB5C98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>Grammatical and Spelling Errors: Several sentences seem awkwardly worded, with syntax errors and inconsistencies in verb tense agreement</w:t>
            </w:r>
          </w:p>
          <w:p w14:paraId="3910794C" w14:textId="77777777" w:rsidR="00912571" w:rsidRPr="00DB5C98" w:rsidRDefault="0091257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3AFD" w14:textId="77777777" w:rsidR="00912571" w:rsidRPr="00DB5C98" w:rsidRDefault="009125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12571" w:rsidRPr="00DB5C98" w14:paraId="34A08A71" w14:textId="77777777" w:rsidTr="001519D1">
        <w:trPr>
          <w:trHeight w:val="1178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D37B3" w14:textId="77777777" w:rsidR="00912571" w:rsidRPr="00DB5C98" w:rsidRDefault="00912571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B5C98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DB5C98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DB5C98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268EC6F7" w14:textId="77777777" w:rsidR="00912571" w:rsidRPr="00DB5C98" w:rsidRDefault="009125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ABCD" w14:textId="77777777" w:rsidR="00C85670" w:rsidRPr="00DB5C98" w:rsidRDefault="00752B06" w:rsidP="00752B06">
            <w:pPr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  <w:lang w:val="en-CA"/>
              </w:rPr>
            </w:pPr>
            <w:r w:rsidRPr="00DB5C98"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  <w:lang w:val="en-CA"/>
              </w:rPr>
              <w:t>Imprecise:</w:t>
            </w:r>
            <w:r w:rsidR="00C85670" w:rsidRPr="00DB5C98"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  <w:lang w:val="en-CA"/>
              </w:rPr>
              <w:t xml:space="preserve"> Some ways in the introduction are copious and could be better structured to facilitate comprehension. And alterations between trashes: Some paragraphs obstruction shortly from one topic to another, without a suave transition.</w:t>
            </w:r>
          </w:p>
          <w:p w14:paraId="4692A88C" w14:textId="77777777" w:rsidR="00752B06" w:rsidRPr="00DB5C98" w:rsidRDefault="00752B06" w:rsidP="00752B06">
            <w:pPr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</w:pPr>
            <w:r w:rsidRPr="00DB5C98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>Table 1 can be better formatted with more precise explanations.</w:t>
            </w:r>
          </w:p>
          <w:p w14:paraId="0358CADF" w14:textId="77777777" w:rsidR="00912571" w:rsidRPr="00DB5C98" w:rsidRDefault="00912571">
            <w:pPr>
              <w:rPr>
                <w:rFonts w:ascii="Arial" w:eastAsia="Arial Unicode MS" w:hAnsi="Arial" w:cs="Arial"/>
                <w:b/>
                <w:sz w:val="20"/>
                <w:szCs w:val="20"/>
                <w:lang w:val="en-CA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6F7C" w14:textId="77777777" w:rsidR="00912571" w:rsidRPr="00DB5C98" w:rsidRDefault="009125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DEBD2D8" w14:textId="77777777" w:rsidR="00912571" w:rsidRPr="00DB5C98" w:rsidRDefault="00912571">
      <w:pPr>
        <w:rPr>
          <w:rFonts w:ascii="Arial" w:hAnsi="Arial" w:cs="Arial"/>
          <w:sz w:val="20"/>
          <w:szCs w:val="20"/>
        </w:rPr>
      </w:pPr>
    </w:p>
    <w:p w14:paraId="2B045384" w14:textId="77777777" w:rsidR="00912571" w:rsidRPr="00DB5C98" w:rsidRDefault="0091257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2466"/>
        <w:gridCol w:w="2460"/>
      </w:tblGrid>
      <w:tr w:rsidR="00905B01" w:rsidRPr="00DB5C98" w14:paraId="284F91B3" w14:textId="77777777" w:rsidTr="00905B0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0D78" w14:textId="77777777" w:rsidR="00905B01" w:rsidRPr="00DB5C98" w:rsidRDefault="00905B0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B5C9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B5C9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901776E" w14:textId="77777777" w:rsidR="00905B01" w:rsidRPr="00DB5C98" w:rsidRDefault="00905B0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05B01" w:rsidRPr="00DB5C98" w14:paraId="1436197E" w14:textId="77777777" w:rsidTr="00905B0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55899" w14:textId="77777777" w:rsidR="00905B01" w:rsidRPr="00DB5C98" w:rsidRDefault="00905B0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8D84" w14:textId="77777777" w:rsidR="00905B01" w:rsidRPr="00DB5C98" w:rsidRDefault="00905B0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5C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FA09" w14:textId="77777777" w:rsidR="00905B01" w:rsidRPr="00DB5C98" w:rsidRDefault="00905B0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B5C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B5C9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B5C98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05B01" w:rsidRPr="00DB5C98" w14:paraId="7D5974CF" w14:textId="77777777" w:rsidTr="00905B0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B1AA" w14:textId="77777777" w:rsidR="00905B01" w:rsidRPr="00DB5C98" w:rsidRDefault="00905B0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5C9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CB8BE1F" w14:textId="77777777" w:rsidR="00905B01" w:rsidRPr="00DB5C98" w:rsidRDefault="00905B0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6C5F" w14:textId="77777777" w:rsidR="00905B01" w:rsidRPr="00DB5C98" w:rsidRDefault="00905B0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5C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5C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5C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8E472CC" w14:textId="77777777" w:rsidR="00905B01" w:rsidRPr="00DB5C98" w:rsidRDefault="00905B0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14C05F" w14:textId="77777777" w:rsidR="00905B01" w:rsidRPr="00DB5C98" w:rsidRDefault="00905B0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C232" w14:textId="77777777" w:rsidR="00905B01" w:rsidRPr="00DB5C98" w:rsidRDefault="00905B0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3ACF27" w14:textId="77777777" w:rsidR="00905B01" w:rsidRPr="00DB5C98" w:rsidRDefault="00905B0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2A06F4" w14:textId="77777777" w:rsidR="00905B01" w:rsidRPr="00DB5C98" w:rsidRDefault="00905B0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BE335EA" w14:textId="77777777" w:rsidR="00905B01" w:rsidRPr="00DB5C98" w:rsidRDefault="00905B01" w:rsidP="00905B01">
      <w:pPr>
        <w:rPr>
          <w:rFonts w:ascii="Arial" w:hAnsi="Arial" w:cs="Arial"/>
          <w:sz w:val="20"/>
          <w:szCs w:val="20"/>
        </w:rPr>
      </w:pPr>
    </w:p>
    <w:bookmarkEnd w:id="1"/>
    <w:p w14:paraId="069830A5" w14:textId="77777777" w:rsidR="00905B01" w:rsidRPr="00DB5C98" w:rsidRDefault="00905B01" w:rsidP="00905B01">
      <w:pPr>
        <w:rPr>
          <w:rFonts w:ascii="Arial" w:hAnsi="Arial" w:cs="Arial"/>
          <w:sz w:val="20"/>
          <w:szCs w:val="20"/>
        </w:rPr>
      </w:pPr>
    </w:p>
    <w:p w14:paraId="1234D839" w14:textId="77777777" w:rsidR="00DB5C98" w:rsidRPr="00DB5C98" w:rsidRDefault="00DB5C98" w:rsidP="00DB5C98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B5C98">
        <w:rPr>
          <w:rFonts w:ascii="Arial" w:hAnsi="Arial" w:cs="Arial"/>
          <w:b/>
          <w:sz w:val="20"/>
          <w:szCs w:val="20"/>
          <w:u w:val="single"/>
          <w:lang w:val="en-GB"/>
        </w:rPr>
        <w:t>Reviewer Details:</w:t>
      </w:r>
    </w:p>
    <w:p w14:paraId="349D1AF1" w14:textId="77777777" w:rsidR="00C85670" w:rsidRPr="00DB5C98" w:rsidRDefault="00C85670" w:rsidP="00905B01">
      <w:pPr>
        <w:rPr>
          <w:rFonts w:ascii="Arial" w:hAnsi="Arial" w:cs="Arial"/>
          <w:sz w:val="20"/>
          <w:szCs w:val="20"/>
          <w:lang w:val="en-CA"/>
        </w:rPr>
      </w:pPr>
    </w:p>
    <w:p w14:paraId="0FAFFDDA" w14:textId="758D74D5" w:rsidR="00DB5C98" w:rsidRPr="00DB5C98" w:rsidRDefault="00DB5C98" w:rsidP="00905B01">
      <w:pPr>
        <w:rPr>
          <w:rFonts w:ascii="Arial" w:hAnsi="Arial" w:cs="Arial"/>
          <w:sz w:val="20"/>
          <w:szCs w:val="20"/>
          <w:lang w:val="en-CA"/>
        </w:rPr>
      </w:pPr>
      <w:bookmarkStart w:id="2" w:name="_Hlk190952552"/>
      <w:r w:rsidRPr="00DB5C98">
        <w:rPr>
          <w:rFonts w:ascii="Arial" w:hAnsi="Arial" w:cs="Arial"/>
          <w:b/>
          <w:bCs/>
          <w:color w:val="555555"/>
          <w:sz w:val="20"/>
          <w:szCs w:val="20"/>
        </w:rPr>
        <w:t xml:space="preserve">Elbar </w:t>
      </w:r>
      <w:proofErr w:type="spellStart"/>
      <w:r w:rsidRPr="00DB5C98">
        <w:rPr>
          <w:rFonts w:ascii="Arial" w:hAnsi="Arial" w:cs="Arial"/>
          <w:b/>
          <w:bCs/>
          <w:color w:val="555555"/>
          <w:sz w:val="20"/>
          <w:szCs w:val="20"/>
        </w:rPr>
        <w:t>Djenette</w:t>
      </w:r>
      <w:proofErr w:type="spellEnd"/>
      <w:r w:rsidRPr="00DB5C98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r w:rsidRPr="00DB5C98">
        <w:rPr>
          <w:rFonts w:ascii="Arial" w:hAnsi="Arial" w:cs="Arial"/>
          <w:b/>
          <w:bCs/>
          <w:color w:val="555555"/>
          <w:sz w:val="20"/>
          <w:szCs w:val="20"/>
        </w:rPr>
        <w:t>Algeria</w:t>
      </w:r>
      <w:bookmarkEnd w:id="2"/>
    </w:p>
    <w:sectPr w:rsidR="00DB5C98" w:rsidRPr="00DB5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571"/>
    <w:rsid w:val="001519D1"/>
    <w:rsid w:val="00752B06"/>
    <w:rsid w:val="007C16D8"/>
    <w:rsid w:val="00905B01"/>
    <w:rsid w:val="00912571"/>
    <w:rsid w:val="00A86D86"/>
    <w:rsid w:val="00C85670"/>
    <w:rsid w:val="00CE33B2"/>
    <w:rsid w:val="00D52859"/>
    <w:rsid w:val="00DB5C98"/>
    <w:rsid w:val="00FF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B8488"/>
  <w15:docId w15:val="{C566521B-C488-44E2-B18D-7708E74E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571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91257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unhideWhenUsed/>
    <w:rsid w:val="00912571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basedOn w:val="DefaultParagraphFont"/>
    <w:link w:val="BodyText"/>
    <w:rsid w:val="00912571"/>
    <w:rPr>
      <w:rFonts w:ascii="Helvetica" w:eastAsia="MS Mincho" w:hAnsi="Helvetica" w:cs="Times New Roman"/>
      <w:sz w:val="24"/>
      <w:szCs w:val="24"/>
      <w:lang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FF5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AFSA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3G</dc:creator>
  <cp:lastModifiedBy>Editor-28</cp:lastModifiedBy>
  <cp:revision>15</cp:revision>
  <dcterms:created xsi:type="dcterms:W3CDTF">2025-02-19T08:21:00Z</dcterms:created>
  <dcterms:modified xsi:type="dcterms:W3CDTF">2025-02-20T08:32:00Z</dcterms:modified>
</cp:coreProperties>
</file>